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drawingml.chart+xml" PartName="/word/charts/chart1.xml"/>
  <Override ContentType="application/vnd.ms-office.chartcolorstyle+xml" PartName="/word/charts/colors1.xml"/>
  <Override ContentType="application/vnd.ms-office.chartstyle+xml" PartName="/word/charts/style1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E2919" w14:textId="0E45A53F" w:rsidR="0001613F" w:rsidRPr="00E42DBA" w:rsidRDefault="00E42DBA" w:rsidP="000F2BE0">
      <w:pPr>
        <w:rPr>
          <w:rFonts w:ascii="Arial" w:eastAsia="微軟正黑體" w:hAnsi="Arial" w:cs="Arial"/>
          <w:b/>
          <w:bCs/>
          <w:sz w:val="32"/>
          <w:szCs w:val="32"/>
          <w:lang w:val="en-US" w:eastAsia="zh-TW"/>
        </w:rPr>
      </w:pPr>
      <w:r w:rsidRPr="00E42DBA">
        <w:rPr>
          <w:rFonts w:ascii="Arial" w:eastAsia="微軟正黑體" w:hAnsi="Arial" w:cs="Arial" w:hint="eastAsia"/>
          <w:b/>
          <w:bCs/>
          <w:sz w:val="32"/>
          <w:szCs w:val="32"/>
          <w:lang w:val="en-US" w:eastAsia="zh-TW"/>
        </w:rPr>
        <w:t>投資組合風險過高的四個原因（以及應對方法）</w:t>
      </w:r>
    </w:p>
    <w:p w14:paraId="3A4CBB9D" w14:textId="4AC5A573" w:rsidR="000F2BE0" w:rsidRPr="00E42DBA" w:rsidRDefault="000F2BE0" w:rsidP="000F2BE0">
      <w:pPr>
        <w:rPr>
          <w:rFonts w:ascii="Arial" w:eastAsia="微軟正黑體" w:hAnsi="Arial" w:cs="Arial"/>
          <w:sz w:val="22"/>
          <w:szCs w:val="22"/>
          <w:lang w:val="en-US" w:eastAsia="zh-TW"/>
        </w:rPr>
      </w:pPr>
      <w:r w:rsidRPr="00E42DBA">
        <w:rPr>
          <w:rFonts w:ascii="Arial" w:eastAsia="微軟正黑體" w:hAnsi="Arial" w:cs="Arial"/>
          <w:sz w:val="22"/>
          <w:szCs w:val="22"/>
          <w:lang w:val="en-US" w:eastAsia="zh-TW"/>
        </w:rPr>
        <w:br/>
      </w:r>
    </w:p>
    <w:p w14:paraId="3040F8C8" w14:textId="0E14F2EB" w:rsidR="002E0786" w:rsidRPr="002E0786" w:rsidRDefault="00E42DBA" w:rsidP="002E0786">
      <w:pPr>
        <w:rPr>
          <w:rFonts w:ascii="Arial" w:eastAsia="微軟正黑體" w:hAnsi="Arial" w:cs="Arial"/>
          <w:b/>
          <w:bCs/>
          <w:sz w:val="22"/>
          <w:szCs w:val="22"/>
          <w:lang w:val="en-US" w:eastAsia="zh-TW"/>
        </w:rPr>
      </w:pPr>
      <w:r w:rsidRPr="002E0786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長期以來，美國股市主要由少數幾家大公司的</w:t>
      </w:r>
      <w:r w:rsidR="00B82737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收益</w:t>
      </w:r>
      <w:r w:rsidRPr="002E0786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推動。但最近的波動</w:t>
      </w:r>
      <w:r w:rsidR="000302AF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顯示</w:t>
      </w:r>
      <w:r w:rsidRPr="002E0786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，市場過度集中</w:t>
      </w:r>
      <w:r w:rsidR="006D336E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在幾間大公司</w:t>
      </w:r>
      <w:r w:rsidRPr="002E0786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存在</w:t>
      </w:r>
      <w:r w:rsidR="0060511F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一定的</w:t>
      </w:r>
      <w:r w:rsidRPr="002E0786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風險。我們認為需要採取</w:t>
      </w:r>
      <w:r w:rsidR="00864A84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主動的投資</w:t>
      </w:r>
      <w:r w:rsidRPr="002E0786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策略，</w:t>
      </w:r>
      <w:r w:rsidR="003A0764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投資在更多元的資產上</w:t>
      </w:r>
      <w:r w:rsidRPr="002E0786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。</w:t>
      </w:r>
    </w:p>
    <w:p w14:paraId="1F177205" w14:textId="6A4984E4" w:rsidR="00CC4171" w:rsidRPr="00E42DBA" w:rsidRDefault="00CC4171" w:rsidP="00CC4171">
      <w:pPr>
        <w:rPr>
          <w:rFonts w:ascii="Arial" w:eastAsia="微軟正黑體" w:hAnsi="Arial" w:cs="Arial"/>
          <w:sz w:val="22"/>
          <w:szCs w:val="22"/>
          <w:lang w:val="en-US" w:eastAsia="zh-TW"/>
        </w:rPr>
      </w:pPr>
    </w:p>
    <w:p w14:paraId="6D0B16C3" w14:textId="77777777" w:rsidR="002726D2" w:rsidRPr="002726D2" w:rsidRDefault="002726D2" w:rsidP="002726D2">
      <w:pPr>
        <w:rPr>
          <w:rFonts w:ascii="Arial" w:eastAsia="微軟正黑體" w:hAnsi="Arial" w:cs="Arial"/>
          <w:b/>
          <w:bCs/>
          <w:sz w:val="22"/>
          <w:szCs w:val="22"/>
          <w:lang w:val="en-US" w:eastAsia="zh-TW"/>
        </w:rPr>
      </w:pPr>
      <w:r w:rsidRPr="002726D2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重點摘要：</w:t>
      </w:r>
    </w:p>
    <w:p w14:paraId="6438E07F" w14:textId="6E0B7425" w:rsidR="00416D11" w:rsidRPr="00E42DBA" w:rsidRDefault="00E42DBA" w:rsidP="00416D11">
      <w:pPr>
        <w:pStyle w:val="a9"/>
        <w:numPr>
          <w:ilvl w:val="0"/>
          <w:numId w:val="15"/>
        </w:numPr>
        <w:rPr>
          <w:rFonts w:ascii="Arial" w:eastAsia="微軟正黑體" w:hAnsi="Arial" w:cs="Arial"/>
          <w:sz w:val="22"/>
          <w:szCs w:val="22"/>
          <w:lang w:val="en-US" w:eastAsia="zh-TW"/>
        </w:rPr>
      </w:pP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當股票市場</w:t>
      </w:r>
      <w:r w:rsidR="000723AA">
        <w:rPr>
          <w:rFonts w:ascii="Arial" w:eastAsia="微軟正黑體" w:hAnsi="Arial" w:cs="Arial" w:hint="eastAsia"/>
          <w:sz w:val="22"/>
          <w:szCs w:val="22"/>
          <w:lang w:val="en-US" w:eastAsia="zh-TW"/>
        </w:rPr>
        <w:t>高效運行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時，</w:t>
      </w:r>
      <w:r w:rsidR="007F4ED1">
        <w:rPr>
          <w:rFonts w:ascii="Arial" w:eastAsia="微軟正黑體" w:hAnsi="Arial" w:cs="Arial" w:hint="eastAsia"/>
          <w:sz w:val="22"/>
          <w:szCs w:val="22"/>
          <w:lang w:val="en-US" w:eastAsia="zh-TW"/>
        </w:rPr>
        <w:t>利用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市值加權</w:t>
      </w:r>
      <w:r w:rsidR="007F4ED1">
        <w:rPr>
          <w:rFonts w:ascii="Arial" w:eastAsia="微軟正黑體" w:hAnsi="Arial" w:cs="Arial" w:hint="eastAsia"/>
          <w:sz w:val="22"/>
          <w:szCs w:val="22"/>
          <w:lang w:val="en-US" w:eastAsia="zh-TW"/>
        </w:rPr>
        <w:t>來配置投資組合</w:t>
      </w:r>
      <w:r w:rsidR="003A0764">
        <w:rPr>
          <w:rFonts w:ascii="Arial" w:eastAsia="微軟正黑體" w:hAnsi="Arial" w:cs="Arial" w:hint="eastAsia"/>
          <w:sz w:val="22"/>
          <w:szCs w:val="22"/>
          <w:lang w:val="en-US" w:eastAsia="zh-TW"/>
        </w:rPr>
        <w:t>是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合理</w:t>
      </w:r>
      <w:r w:rsidR="003A0764">
        <w:rPr>
          <w:rFonts w:ascii="Arial" w:eastAsia="微軟正黑體" w:hAnsi="Arial" w:cs="Arial" w:hint="eastAsia"/>
          <w:sz w:val="22"/>
          <w:szCs w:val="22"/>
          <w:lang w:val="en-US" w:eastAsia="zh-TW"/>
        </w:rPr>
        <w:t>的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，但目前</w:t>
      </w:r>
      <w:r w:rsidR="003A0764">
        <w:rPr>
          <w:rFonts w:ascii="Arial" w:eastAsia="微軟正黑體" w:hAnsi="Arial" w:cs="Arial" w:hint="eastAsia"/>
          <w:sz w:val="22"/>
          <w:szCs w:val="22"/>
          <w:lang w:val="en-US" w:eastAsia="zh-TW"/>
        </w:rPr>
        <w:t>狀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況並非如此。</w:t>
      </w:r>
    </w:p>
    <w:p w14:paraId="3E1CCBFF" w14:textId="381D959B" w:rsidR="00416D11" w:rsidRPr="00E42DBA" w:rsidRDefault="00990E32" w:rsidP="00416D11">
      <w:pPr>
        <w:pStyle w:val="a9"/>
        <w:numPr>
          <w:ilvl w:val="0"/>
          <w:numId w:val="15"/>
        </w:numPr>
        <w:rPr>
          <w:rFonts w:ascii="Arial" w:eastAsia="微軟正黑體" w:hAnsi="Arial" w:cs="Arial"/>
          <w:sz w:val="22"/>
          <w:szCs w:val="22"/>
          <w:lang w:val="en-US" w:eastAsia="zh-TW"/>
        </w:rPr>
      </w:pPr>
      <w:r>
        <w:rPr>
          <w:rFonts w:ascii="Arial" w:eastAsia="微軟正黑體" w:hAnsi="Arial" w:cs="Arial" w:hint="eastAsia"/>
          <w:sz w:val="22"/>
          <w:szCs w:val="22"/>
          <w:lang w:val="en-US" w:eastAsia="zh-TW"/>
        </w:rPr>
        <w:t>很多因素，包含</w:t>
      </w:r>
      <w:r w:rsidR="001404CC">
        <w:rPr>
          <w:rFonts w:ascii="Arial" w:eastAsia="微軟正黑體" w:hAnsi="Arial" w:cs="Arial" w:hint="eastAsia"/>
          <w:sz w:val="22"/>
          <w:szCs w:val="22"/>
          <w:lang w:val="en-US" w:eastAsia="zh-TW"/>
        </w:rPr>
        <w:t>投資人</w:t>
      </w:r>
      <w:r w:rsidR="00E42DBA"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認為美國股票長期</w:t>
      </w:r>
      <w:r w:rsidR="003A0764">
        <w:rPr>
          <w:rFonts w:ascii="Arial" w:eastAsia="微軟正黑體" w:hAnsi="Arial" w:cs="Arial" w:hint="eastAsia"/>
          <w:sz w:val="22"/>
          <w:szCs w:val="22"/>
          <w:lang w:val="en-US" w:eastAsia="zh-TW"/>
        </w:rPr>
        <w:t>多頭的趨勢</w:t>
      </w:r>
      <w:r w:rsidR="00E42DBA"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，</w:t>
      </w:r>
      <w:r>
        <w:rPr>
          <w:rFonts w:ascii="Arial" w:eastAsia="微軟正黑體" w:hAnsi="Arial" w:cs="Arial" w:hint="eastAsia"/>
          <w:sz w:val="22"/>
          <w:szCs w:val="22"/>
          <w:lang w:val="en-US" w:eastAsia="zh-TW"/>
        </w:rPr>
        <w:t>讓</w:t>
      </w:r>
      <w:r w:rsidR="00E42DBA"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我們</w:t>
      </w:r>
      <w:r>
        <w:rPr>
          <w:rFonts w:ascii="Arial" w:eastAsia="微軟正黑體" w:hAnsi="Arial" w:cs="Arial" w:hint="eastAsia"/>
          <w:sz w:val="22"/>
          <w:szCs w:val="22"/>
          <w:lang w:val="en-US" w:eastAsia="zh-TW"/>
        </w:rPr>
        <w:t>懷疑</w:t>
      </w:r>
      <w:r w:rsidR="003A0764">
        <w:rPr>
          <w:rFonts w:ascii="Arial" w:eastAsia="微軟正黑體" w:hAnsi="Arial" w:cs="Arial" w:hint="eastAsia"/>
          <w:sz w:val="22"/>
          <w:szCs w:val="22"/>
          <w:lang w:val="en-US" w:eastAsia="zh-TW"/>
        </w:rPr>
        <w:t>現在的</w:t>
      </w:r>
      <w:r w:rsidR="00E42DBA"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股票市場</w:t>
      </w:r>
      <w:r w:rsidR="00DF532D">
        <w:rPr>
          <w:rFonts w:ascii="Arial" w:eastAsia="微軟正黑體" w:hAnsi="Arial" w:cs="Arial" w:hint="eastAsia"/>
          <w:sz w:val="22"/>
          <w:szCs w:val="22"/>
          <w:lang w:val="en-US" w:eastAsia="zh-TW"/>
        </w:rPr>
        <w:t>是否還有效率</w:t>
      </w:r>
      <w:r w:rsidR="00E42DBA"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。</w:t>
      </w:r>
    </w:p>
    <w:p w14:paraId="51C5EA3E" w14:textId="0405DE49" w:rsidR="00416D11" w:rsidRPr="00E42DBA" w:rsidRDefault="00E42DBA" w:rsidP="00416D11">
      <w:pPr>
        <w:pStyle w:val="a9"/>
        <w:numPr>
          <w:ilvl w:val="0"/>
          <w:numId w:val="15"/>
        </w:numPr>
        <w:rPr>
          <w:rFonts w:ascii="Arial" w:eastAsia="微軟正黑體" w:hAnsi="Arial" w:cs="Arial"/>
          <w:sz w:val="22"/>
          <w:szCs w:val="22"/>
          <w:lang w:val="en-US" w:eastAsia="zh-TW"/>
        </w:rPr>
      </w:pP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我們認為，少數大型美國公司能否繼續表現良好存在不確定性，將促使更多投資</w:t>
      </w:r>
      <w:r w:rsidR="00DF532D">
        <w:rPr>
          <w:rFonts w:ascii="Arial" w:eastAsia="微軟正黑體" w:hAnsi="Arial" w:cs="Arial" w:hint="eastAsia"/>
          <w:sz w:val="22"/>
          <w:szCs w:val="22"/>
          <w:lang w:val="en-US" w:eastAsia="zh-TW"/>
        </w:rPr>
        <w:t>人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重新平</w:t>
      </w:r>
      <w:r w:rsidR="003A0764">
        <w:rPr>
          <w:rFonts w:ascii="Arial" w:eastAsia="微軟正黑體" w:hAnsi="Arial" w:cs="Arial" w:hint="eastAsia"/>
          <w:sz w:val="22"/>
          <w:szCs w:val="22"/>
          <w:lang w:val="en-US" w:eastAsia="zh-TW"/>
        </w:rPr>
        <w:t>衡自己的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投資組合，以增加分散度。</w:t>
      </w:r>
    </w:p>
    <w:p w14:paraId="54CDB243" w14:textId="7A201650" w:rsidR="00EE0095" w:rsidRPr="00E42DBA" w:rsidRDefault="00EE0095" w:rsidP="00416D11">
      <w:pPr>
        <w:rPr>
          <w:rFonts w:ascii="Arial" w:eastAsia="微軟正黑體" w:hAnsi="Arial" w:cs="Arial"/>
          <w:sz w:val="22"/>
          <w:szCs w:val="22"/>
          <w:lang w:val="en-US" w:eastAsia="zh-TW"/>
        </w:rPr>
      </w:pPr>
    </w:p>
    <w:p w14:paraId="714928D2" w14:textId="739CD256" w:rsidR="004F1263" w:rsidRPr="00E42DBA" w:rsidRDefault="00B129D5" w:rsidP="004F1263">
      <w:pPr>
        <w:rPr>
          <w:rFonts w:ascii="Arial" w:eastAsia="微軟正黑體" w:hAnsi="Arial" w:cs="Arial"/>
          <w:sz w:val="22"/>
          <w:szCs w:val="22"/>
          <w:lang w:val="en-US" w:eastAsia="zh-TW"/>
        </w:rPr>
      </w:pPr>
      <w:r w:rsidRPr="00E42DBA">
        <w:rPr>
          <w:rFonts w:ascii="Arial" w:eastAsia="微軟正黑體" w:hAnsi="Arial" w:cs="Arial"/>
          <w:b/>
          <w:bCs/>
          <w:sz w:val="22"/>
          <w:szCs w:val="22"/>
          <w:lang w:val="en-US" w:eastAsia="zh-TW"/>
        </w:rPr>
        <w:br/>
      </w:r>
      <w:r w:rsidRPr="00E42DBA">
        <w:rPr>
          <w:rFonts w:ascii="Arial" w:eastAsia="微軟正黑體" w:hAnsi="Arial" w:cs="Arial"/>
          <w:b/>
          <w:bCs/>
          <w:sz w:val="22"/>
          <w:szCs w:val="22"/>
          <w:lang w:val="en-US" w:eastAsia="zh-TW"/>
        </w:rPr>
        <w:br/>
      </w:r>
      <w:r w:rsidR="00E42DBA"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想像一下，在審核一個包含數百支股票的投資組合時，發現其中僅有</w:t>
      </w:r>
      <w:r w:rsidR="00E42DBA" w:rsidRPr="00E42DBA">
        <w:rPr>
          <w:rFonts w:ascii="Arial" w:eastAsia="微軟正黑體" w:hAnsi="Arial" w:cs="Arial"/>
          <w:sz w:val="22"/>
          <w:szCs w:val="22"/>
          <w:lang w:val="en-US" w:eastAsia="zh-TW"/>
        </w:rPr>
        <w:t>10</w:t>
      </w:r>
      <w:r w:rsidR="00E42DBA"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支股票就占了總市場風險的一半，而剩餘的風險則分散在數百支股票中</w:t>
      </w:r>
      <w:proofErr w:type="gramStart"/>
      <w:r w:rsidR="00E42DBA" w:rsidRPr="00E42DBA">
        <w:rPr>
          <w:rFonts w:ascii="Arial" w:eastAsia="微軟正黑體" w:hAnsi="Arial" w:cs="Arial"/>
          <w:sz w:val="22"/>
          <w:szCs w:val="22"/>
          <w:lang w:val="en-US" w:eastAsia="zh-TW"/>
        </w:rPr>
        <w:t>——</w:t>
      </w:r>
      <w:proofErr w:type="gramEnd"/>
      <w:r w:rsidR="003A0764">
        <w:rPr>
          <w:rFonts w:ascii="Arial" w:eastAsia="微軟正黑體" w:hAnsi="Arial" w:cs="Arial" w:hint="eastAsia"/>
          <w:sz w:val="22"/>
          <w:szCs w:val="22"/>
          <w:lang w:val="en-US" w:eastAsia="zh-TW"/>
        </w:rPr>
        <w:t>且</w:t>
      </w:r>
      <w:r w:rsidR="00E42DBA"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大部分股票的權重接近於零。</w:t>
      </w:r>
    </w:p>
    <w:p w14:paraId="1EAFF927" w14:textId="3927515E" w:rsidR="004F1263" w:rsidRPr="00E42DBA" w:rsidRDefault="00E42DBA" w:rsidP="004F1263">
      <w:pPr>
        <w:rPr>
          <w:rFonts w:ascii="Arial" w:eastAsia="微軟正黑體" w:hAnsi="Arial" w:cs="Arial"/>
          <w:sz w:val="22"/>
          <w:szCs w:val="22"/>
          <w:lang w:val="en-US" w:eastAsia="zh-TW"/>
        </w:rPr>
      </w:pP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大多數</w:t>
      </w:r>
      <w:r w:rsidR="000C393C">
        <w:rPr>
          <w:rFonts w:ascii="Arial" w:eastAsia="微軟正黑體" w:hAnsi="Arial" w:cs="Arial" w:hint="eastAsia"/>
          <w:sz w:val="22"/>
          <w:szCs w:val="22"/>
          <w:lang w:val="en-US" w:eastAsia="zh-TW"/>
        </w:rPr>
        <w:t>投資人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會認為這種投資策略</w:t>
      </w:r>
      <w:r w:rsidR="007A67C7">
        <w:rPr>
          <w:rFonts w:ascii="Arial" w:eastAsia="微軟正黑體" w:hAnsi="Arial" w:cs="Arial" w:hint="eastAsia"/>
          <w:sz w:val="22"/>
          <w:szCs w:val="22"/>
          <w:lang w:val="en-US" w:eastAsia="zh-TW"/>
        </w:rPr>
        <w:t>沒有分散風險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。</w:t>
      </w:r>
    </w:p>
    <w:p w14:paraId="5FF60031" w14:textId="5BCF4E71" w:rsidR="004F1263" w:rsidRPr="00E42DBA" w:rsidRDefault="00E42DBA" w:rsidP="004F1263">
      <w:pPr>
        <w:rPr>
          <w:rFonts w:ascii="Arial" w:eastAsia="微軟正黑體" w:hAnsi="Arial" w:cs="Arial"/>
          <w:sz w:val="22"/>
          <w:szCs w:val="22"/>
          <w:lang w:val="en-US" w:eastAsia="zh-TW"/>
        </w:rPr>
      </w:pP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然而，這正是許多</w:t>
      </w:r>
      <w:r w:rsidR="000C393C">
        <w:rPr>
          <w:rFonts w:ascii="Arial" w:eastAsia="微軟正黑體" w:hAnsi="Arial" w:cs="Arial" w:hint="eastAsia"/>
          <w:sz w:val="22"/>
          <w:szCs w:val="22"/>
          <w:lang w:val="en-US" w:eastAsia="zh-TW"/>
        </w:rPr>
        <w:t>投資人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因配置美國大型股而面臨的</w:t>
      </w:r>
      <w:r w:rsidR="007A67C7">
        <w:rPr>
          <w:rFonts w:ascii="Arial" w:eastAsia="微軟正黑體" w:hAnsi="Arial" w:cs="Arial" w:hint="eastAsia"/>
          <w:sz w:val="22"/>
          <w:szCs w:val="22"/>
          <w:lang w:val="en-US" w:eastAsia="zh-TW"/>
        </w:rPr>
        <w:t>狀況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（見圖表</w:t>
      </w:r>
      <w:r w:rsidRPr="00E42DBA">
        <w:rPr>
          <w:rFonts w:ascii="Arial" w:eastAsia="微軟正黑體" w:hAnsi="Arial" w:cs="Arial"/>
          <w:sz w:val="22"/>
          <w:szCs w:val="22"/>
          <w:lang w:val="en-US" w:eastAsia="zh-TW"/>
        </w:rPr>
        <w:t>1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）。他們大多</w:t>
      </w:r>
      <w:r w:rsidR="00046EDA">
        <w:rPr>
          <w:rFonts w:ascii="Arial" w:eastAsia="微軟正黑體" w:hAnsi="Arial" w:cs="Arial" w:hint="eastAsia"/>
          <w:sz w:val="22"/>
          <w:szCs w:val="22"/>
          <w:lang w:val="en-US" w:eastAsia="zh-TW"/>
        </w:rPr>
        <w:t>是透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過被動投資策略</w:t>
      </w:r>
      <w:r w:rsidR="003A0764">
        <w:rPr>
          <w:rFonts w:ascii="Arial" w:eastAsia="微軟正黑體" w:hAnsi="Arial" w:cs="Arial" w:hint="eastAsia"/>
          <w:sz w:val="22"/>
          <w:szCs w:val="22"/>
          <w:lang w:val="en-US" w:eastAsia="zh-TW"/>
        </w:rPr>
        <w:t>來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建</w:t>
      </w:r>
      <w:r w:rsidR="008F5BED">
        <w:rPr>
          <w:rFonts w:ascii="Arial" w:eastAsia="微軟正黑體" w:hAnsi="Arial" w:cs="Arial" w:hint="eastAsia"/>
          <w:sz w:val="22"/>
          <w:szCs w:val="22"/>
          <w:lang w:val="en-US" w:eastAsia="zh-TW"/>
        </w:rPr>
        <w:t>立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倉位，</w:t>
      </w:r>
      <w:proofErr w:type="gramStart"/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投資於按市值</w:t>
      </w:r>
      <w:proofErr w:type="gramEnd"/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加權</w:t>
      </w:r>
      <w:proofErr w:type="gramStart"/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的</w:t>
      </w:r>
      <w:r w:rsidR="008F5BED">
        <w:rPr>
          <w:rFonts w:ascii="Arial" w:eastAsia="微軟正黑體" w:hAnsi="Arial" w:cs="Arial" w:hint="eastAsia"/>
          <w:sz w:val="22"/>
          <w:szCs w:val="22"/>
          <w:lang w:val="en-US" w:eastAsia="zh-TW"/>
        </w:rPr>
        <w:t>投組</w:t>
      </w:r>
      <w:proofErr w:type="gramEnd"/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，其中每</w:t>
      </w:r>
      <w:r w:rsidR="008F5BED">
        <w:rPr>
          <w:rFonts w:ascii="Arial" w:eastAsia="微軟正黑體" w:hAnsi="Arial" w:cs="Arial" w:hint="eastAsia"/>
          <w:sz w:val="22"/>
          <w:szCs w:val="22"/>
          <w:lang w:val="en-US" w:eastAsia="zh-TW"/>
        </w:rPr>
        <w:t>檔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成分股的市值</w:t>
      </w:r>
      <w:r w:rsidR="003A0764">
        <w:rPr>
          <w:rFonts w:ascii="Arial" w:eastAsia="微軟正黑體" w:hAnsi="Arial" w:cs="Arial" w:hint="eastAsia"/>
          <w:sz w:val="22"/>
          <w:szCs w:val="22"/>
          <w:lang w:val="en-US" w:eastAsia="zh-TW"/>
        </w:rPr>
        <w:t>將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決定其</w:t>
      </w:r>
      <w:proofErr w:type="gramStart"/>
      <w:r w:rsidR="003A0764">
        <w:rPr>
          <w:rFonts w:ascii="Arial" w:eastAsia="微軟正黑體" w:hAnsi="Arial" w:cs="Arial" w:hint="eastAsia"/>
          <w:sz w:val="22"/>
          <w:szCs w:val="22"/>
          <w:lang w:val="en-US" w:eastAsia="zh-TW"/>
        </w:rPr>
        <w:t>在投組中的</w:t>
      </w:r>
      <w:proofErr w:type="gramEnd"/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權重。</w:t>
      </w:r>
    </w:p>
    <w:p w14:paraId="7B724C63" w14:textId="641645BC" w:rsidR="004F1263" w:rsidRPr="00E42DBA" w:rsidRDefault="00E42DBA" w:rsidP="004F1263">
      <w:pPr>
        <w:rPr>
          <w:rFonts w:ascii="Arial" w:eastAsia="微軟正黑體" w:hAnsi="Arial" w:cs="Arial"/>
          <w:sz w:val="22"/>
          <w:szCs w:val="22"/>
          <w:lang w:val="en-US" w:eastAsia="zh-TW"/>
        </w:rPr>
      </w:pP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高度集中化投資組合的風險在今年得到了</w:t>
      </w:r>
      <w:r w:rsidR="001C5243">
        <w:rPr>
          <w:rFonts w:ascii="Arial" w:eastAsia="微軟正黑體" w:hAnsi="Arial" w:cs="Arial" w:hint="eastAsia"/>
          <w:sz w:val="22"/>
          <w:szCs w:val="22"/>
          <w:lang w:val="en-US" w:eastAsia="zh-TW"/>
        </w:rPr>
        <w:t>驗證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。首先，中國人工智慧初創公司</w:t>
      </w:r>
      <w:r w:rsidRPr="00E42DBA">
        <w:rPr>
          <w:rFonts w:ascii="Arial" w:eastAsia="微軟正黑體" w:hAnsi="Arial" w:cs="Arial"/>
          <w:sz w:val="22"/>
          <w:szCs w:val="22"/>
          <w:lang w:val="en-US" w:eastAsia="zh-TW"/>
        </w:rPr>
        <w:t>DeepSeek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於</w:t>
      </w:r>
      <w:r w:rsidRPr="00E42DBA">
        <w:rPr>
          <w:rFonts w:ascii="Arial" w:eastAsia="微軟正黑體" w:hAnsi="Arial" w:cs="Arial"/>
          <w:sz w:val="22"/>
          <w:szCs w:val="22"/>
          <w:lang w:val="en-US" w:eastAsia="zh-TW"/>
        </w:rPr>
        <w:t>2025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年</w:t>
      </w:r>
      <w:r w:rsidRPr="00E42DBA">
        <w:rPr>
          <w:rFonts w:ascii="Arial" w:eastAsia="微軟正黑體" w:hAnsi="Arial" w:cs="Arial"/>
          <w:sz w:val="22"/>
          <w:szCs w:val="22"/>
          <w:lang w:val="en-US" w:eastAsia="zh-TW"/>
        </w:rPr>
        <w:t>1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月底宣佈的進展導致美國股市出現</w:t>
      </w:r>
      <w:r w:rsidR="001C5243">
        <w:rPr>
          <w:rFonts w:ascii="Arial" w:eastAsia="微軟正黑體" w:hAnsi="Arial" w:cs="Arial" w:hint="eastAsia"/>
          <w:sz w:val="22"/>
          <w:szCs w:val="22"/>
          <w:lang w:val="en-US" w:eastAsia="zh-TW"/>
        </w:rPr>
        <w:t>鉅額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虧損。其次</w:t>
      </w:r>
      <w:r w:rsidR="003A0764">
        <w:rPr>
          <w:rFonts w:ascii="Arial" w:eastAsia="微軟正黑體" w:hAnsi="Arial" w:cs="Arial" w:hint="eastAsia"/>
          <w:sz w:val="22"/>
          <w:szCs w:val="22"/>
          <w:lang w:val="en-US" w:eastAsia="zh-TW"/>
        </w:rPr>
        <w:t>是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美國關稅實施後</w:t>
      </w:r>
      <w:r w:rsidR="00730D59">
        <w:rPr>
          <w:rFonts w:ascii="Arial" w:eastAsia="微軟正黑體" w:hAnsi="Arial" w:cs="Arial" w:hint="eastAsia"/>
          <w:sz w:val="22"/>
          <w:szCs w:val="22"/>
          <w:lang w:val="en-US" w:eastAsia="zh-TW"/>
        </w:rPr>
        <w:t>，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全球貿易衝突進一步打擊了市場對美國股票的信心。</w:t>
      </w:r>
    </w:p>
    <w:p w14:paraId="6AE96414" w14:textId="4F74EEAF" w:rsidR="004F1263" w:rsidRPr="00E42DBA" w:rsidRDefault="00E42DBA" w:rsidP="004F1263">
      <w:pPr>
        <w:rPr>
          <w:rFonts w:ascii="Arial" w:eastAsia="微軟正黑體" w:hAnsi="Arial" w:cs="Arial"/>
          <w:sz w:val="22"/>
          <w:szCs w:val="22"/>
          <w:lang w:val="en-US" w:eastAsia="zh-TW"/>
        </w:rPr>
      </w:pP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我們認為</w:t>
      </w:r>
      <w:r w:rsidR="00670E7C">
        <w:rPr>
          <w:rFonts w:ascii="Arial" w:eastAsia="微軟正黑體" w:hAnsi="Arial" w:cs="Arial" w:hint="eastAsia"/>
          <w:sz w:val="22"/>
          <w:szCs w:val="22"/>
          <w:lang w:val="en-US" w:eastAsia="zh-TW"/>
        </w:rPr>
        <w:t>這</w:t>
      </w:r>
      <w:r w:rsidR="003A0764">
        <w:rPr>
          <w:rFonts w:ascii="Arial" w:eastAsia="微軟正黑體" w:hAnsi="Arial" w:cs="Arial" w:hint="eastAsia"/>
          <w:sz w:val="22"/>
          <w:szCs w:val="22"/>
          <w:lang w:val="en-US" w:eastAsia="zh-TW"/>
        </w:rPr>
        <w:t>幾個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事件</w:t>
      </w:r>
      <w:r w:rsidR="001C5243">
        <w:rPr>
          <w:rFonts w:ascii="Arial" w:eastAsia="微軟正黑體" w:hAnsi="Arial" w:cs="Arial" w:hint="eastAsia"/>
          <w:sz w:val="22"/>
          <w:szCs w:val="22"/>
          <w:lang w:val="en-US" w:eastAsia="zh-TW"/>
        </w:rPr>
        <w:t>驗證了我們需要一個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替代策略：一種通過</w:t>
      </w:r>
      <w:r w:rsidR="003A0764">
        <w:rPr>
          <w:rFonts w:ascii="Arial" w:eastAsia="微軟正黑體" w:hAnsi="Arial" w:cs="Arial" w:hint="eastAsia"/>
          <w:sz w:val="22"/>
          <w:szCs w:val="22"/>
          <w:lang w:val="en-US" w:eastAsia="zh-TW"/>
        </w:rPr>
        <w:t>分散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資產</w:t>
      </w:r>
      <w:r w:rsidR="00670E7C">
        <w:rPr>
          <w:rFonts w:ascii="Arial" w:eastAsia="微軟正黑體" w:hAnsi="Arial" w:cs="Arial" w:hint="eastAsia"/>
          <w:sz w:val="22"/>
          <w:szCs w:val="22"/>
          <w:lang w:val="en-US" w:eastAsia="zh-TW"/>
        </w:rPr>
        <w:t>來分散風險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。</w:t>
      </w:r>
    </w:p>
    <w:p w14:paraId="26BD93A4" w14:textId="7E195566" w:rsidR="005C5A1C" w:rsidRPr="00E42DBA" w:rsidRDefault="00E42DBA" w:rsidP="004F1263">
      <w:pPr>
        <w:rPr>
          <w:rFonts w:ascii="Arial" w:eastAsia="微軟正黑體" w:hAnsi="Arial" w:cs="Arial"/>
          <w:sz w:val="22"/>
          <w:szCs w:val="22"/>
          <w:lang w:val="en-US" w:eastAsia="zh-TW"/>
        </w:rPr>
      </w:pP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首先，</w:t>
      </w:r>
      <w:r w:rsidR="00AB6A67" w:rsidRPr="00AB6A67">
        <w:rPr>
          <w:rFonts w:ascii="Arial" w:eastAsia="微軟正黑體" w:hAnsi="Arial" w:cs="Arial" w:hint="eastAsia"/>
          <w:sz w:val="22"/>
          <w:szCs w:val="22"/>
          <w:lang w:val="en-US" w:eastAsia="zh-TW"/>
        </w:rPr>
        <w:t>為什麼會有這麼多投資人，手上</w:t>
      </w:r>
      <w:proofErr w:type="gramStart"/>
      <w:r w:rsidR="00AB6A67" w:rsidRPr="00AB6A67">
        <w:rPr>
          <w:rFonts w:ascii="Arial" w:eastAsia="微軟正黑體" w:hAnsi="Arial" w:cs="Arial" w:hint="eastAsia"/>
          <w:sz w:val="22"/>
          <w:szCs w:val="22"/>
          <w:lang w:val="en-US" w:eastAsia="zh-TW"/>
        </w:rPr>
        <w:t>的投組都</w:t>
      </w:r>
      <w:proofErr w:type="gramEnd"/>
      <w:r w:rsidR="00AB6A67" w:rsidRPr="00AB6A67">
        <w:rPr>
          <w:rFonts w:ascii="Arial" w:eastAsia="微軟正黑體" w:hAnsi="Arial" w:cs="Arial" w:hint="eastAsia"/>
          <w:sz w:val="22"/>
          <w:szCs w:val="22"/>
          <w:lang w:val="en-US" w:eastAsia="zh-TW"/>
        </w:rPr>
        <w:t>只仰賴那幾</w:t>
      </w:r>
      <w:proofErr w:type="gramStart"/>
      <w:r w:rsidR="00AB6A67" w:rsidRPr="00AB6A67">
        <w:rPr>
          <w:rFonts w:ascii="Arial" w:eastAsia="微軟正黑體" w:hAnsi="Arial" w:cs="Arial" w:hint="eastAsia"/>
          <w:sz w:val="22"/>
          <w:szCs w:val="22"/>
          <w:lang w:val="en-US" w:eastAsia="zh-TW"/>
        </w:rPr>
        <w:t>檔</w:t>
      </w:r>
      <w:proofErr w:type="gramEnd"/>
      <w:r w:rsidR="00AB6A67" w:rsidRPr="00AB6A67">
        <w:rPr>
          <w:rFonts w:ascii="Arial" w:eastAsia="微軟正黑體" w:hAnsi="Arial" w:cs="Arial" w:hint="eastAsia"/>
          <w:sz w:val="22"/>
          <w:szCs w:val="22"/>
          <w:lang w:val="en-US" w:eastAsia="zh-TW"/>
        </w:rPr>
        <w:t>股票的表現？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。</w:t>
      </w:r>
      <w:r w:rsidR="0032323C" w:rsidRPr="0032323C">
        <w:rPr>
          <w:rFonts w:ascii="Arial" w:eastAsia="微軟正黑體" w:hAnsi="Arial" w:cs="Arial" w:hint="eastAsia"/>
          <w:sz w:val="22"/>
          <w:szCs w:val="22"/>
          <w:lang w:val="en-US" w:eastAsia="zh-TW"/>
        </w:rPr>
        <w:t>簡單來說，就是他們一直相信市場有效率，</w:t>
      </w:r>
      <w:r w:rsidR="00BF7894">
        <w:rPr>
          <w:rFonts w:ascii="Arial" w:eastAsia="微軟正黑體" w:hAnsi="Arial" w:cs="Arial" w:hint="eastAsia"/>
          <w:sz w:val="22"/>
          <w:szCs w:val="22"/>
          <w:lang w:val="en-US" w:eastAsia="zh-TW"/>
        </w:rPr>
        <w:t>但</w:t>
      </w:r>
      <w:r w:rsidR="0032323C" w:rsidRPr="0032323C">
        <w:rPr>
          <w:rFonts w:ascii="Arial" w:eastAsia="微軟正黑體" w:hAnsi="Arial" w:cs="Arial" w:hint="eastAsia"/>
          <w:sz w:val="22"/>
          <w:szCs w:val="22"/>
          <w:lang w:val="en-US" w:eastAsia="zh-TW"/>
        </w:rPr>
        <w:t>近年來各種跡象都在告訴我們，市場其實根本沒那麼有效率。</w:t>
      </w:r>
    </w:p>
    <w:p w14:paraId="69917B77" w14:textId="77777777" w:rsidR="0042157C" w:rsidRPr="00E42DBA" w:rsidRDefault="0042157C" w:rsidP="00152616">
      <w:pPr>
        <w:rPr>
          <w:rFonts w:ascii="Arial" w:eastAsia="微軟正黑體" w:hAnsi="Arial" w:cs="Arial"/>
          <w:sz w:val="22"/>
          <w:szCs w:val="22"/>
          <w:lang w:val="en-US" w:eastAsia="zh-TW"/>
        </w:rPr>
      </w:pPr>
    </w:p>
    <w:p w14:paraId="428EB48C" w14:textId="6A915887" w:rsidR="00735130" w:rsidRPr="00E42DBA" w:rsidRDefault="00E42DBA" w:rsidP="00152616">
      <w:pPr>
        <w:rPr>
          <w:rFonts w:ascii="Arial" w:eastAsia="微軟正黑體" w:hAnsi="Arial" w:cs="Arial"/>
          <w:b/>
          <w:bCs/>
          <w:sz w:val="22"/>
          <w:szCs w:val="22"/>
          <w:lang w:val="en-US" w:eastAsia="zh-TW"/>
        </w:rPr>
      </w:pPr>
      <w:r w:rsidRPr="00E42DBA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圖表</w:t>
      </w:r>
      <w:r w:rsidRPr="00E42DBA">
        <w:rPr>
          <w:rFonts w:ascii="Arial" w:eastAsia="微軟正黑體" w:hAnsi="Arial" w:cs="Arial"/>
          <w:b/>
          <w:bCs/>
          <w:sz w:val="22"/>
          <w:szCs w:val="22"/>
          <w:lang w:val="en-US" w:eastAsia="zh-TW"/>
        </w:rPr>
        <w:t xml:space="preserve"> 1</w:t>
      </w:r>
      <w:r w:rsidRPr="00E42DBA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：</w:t>
      </w:r>
      <w:r w:rsidR="00DE5E12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僅</w:t>
      </w:r>
      <w:r w:rsidRPr="00E42DBA">
        <w:rPr>
          <w:rFonts w:ascii="Arial" w:eastAsia="微軟正黑體" w:hAnsi="Arial" w:cs="Arial"/>
          <w:b/>
          <w:bCs/>
          <w:sz w:val="22"/>
          <w:szCs w:val="22"/>
          <w:lang w:val="en-US" w:eastAsia="zh-TW"/>
        </w:rPr>
        <w:t xml:space="preserve">10 </w:t>
      </w:r>
      <w:r w:rsidR="0032323C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支</w:t>
      </w:r>
      <w:proofErr w:type="gramStart"/>
      <w:r w:rsidRPr="00E42DBA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股票占美</w:t>
      </w:r>
      <w:r w:rsidR="00A813DE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股</w:t>
      </w:r>
      <w:proofErr w:type="gramEnd"/>
      <w:r w:rsidRPr="00E42DBA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大盤</w:t>
      </w:r>
      <w:r w:rsidR="00A813DE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一半的</w:t>
      </w:r>
      <w:r w:rsidRPr="00E42DBA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風險</w:t>
      </w:r>
    </w:p>
    <w:p w14:paraId="0F016AAD" w14:textId="1EC28234" w:rsidR="004F16D1" w:rsidRPr="00E42DBA" w:rsidRDefault="00BF1E8E" w:rsidP="00152616">
      <w:pPr>
        <w:rPr>
          <w:rFonts w:ascii="Arial" w:eastAsia="微軟正黑體" w:hAnsi="Arial" w:cs="Arial"/>
          <w:sz w:val="22"/>
          <w:szCs w:val="22"/>
          <w:lang w:val="en-US"/>
        </w:rPr>
      </w:pPr>
      <w:r w:rsidRPr="00E42DBA">
        <w:rPr>
          <w:rFonts w:ascii="Arial" w:eastAsia="微軟正黑體" w:hAnsi="Arial" w:cs="Arial"/>
          <w:noProof/>
          <w:sz w:val="22"/>
          <w:szCs w:val="22"/>
        </w:rPr>
        <w:drawing>
          <wp:inline distT="0" distB="0" distL="0" distR="0" wp14:anchorId="2709BF09" wp14:editId="3A2AB5E8">
            <wp:extent cx="5726317" cy="2743200"/>
            <wp:effectExtent l="0" t="0" r="0" b="0"/>
            <wp:docPr id="23509028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383800C-3B7F-44D1-9135-842E001F9B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0"/>
              </a:graphicData>
            </a:graphic>
          </wp:inline>
        </w:drawing>
      </w:r>
    </w:p>
    <w:p w14:paraId="41212BED" w14:textId="3BEA673E" w:rsidR="00DE5E12" w:rsidRPr="00DE5E12" w:rsidRDefault="00DE5E12" w:rsidP="006A06F4">
      <w:pPr>
        <w:rPr>
          <w:rFonts w:ascii="Arial" w:eastAsia="微軟正黑體" w:hAnsi="Arial" w:cs="Arial"/>
          <w:sz w:val="16"/>
          <w:szCs w:val="16"/>
          <w:lang w:val="en-US" w:eastAsia="zh-TW"/>
        </w:rPr>
      </w:pPr>
      <w:r w:rsidRPr="00DE5E12">
        <w:rPr>
          <w:rFonts w:ascii="Arial" w:eastAsia="微軟正黑體" w:hAnsi="Arial" w:cs="Arial" w:hint="eastAsia"/>
          <w:sz w:val="16"/>
          <w:szCs w:val="16"/>
          <w:lang w:val="en-US" w:eastAsia="zh-TW"/>
        </w:rPr>
        <w:t>附註</w:t>
      </w:r>
      <w:r w:rsidRPr="00DE5E12">
        <w:rPr>
          <w:rFonts w:ascii="Arial" w:eastAsia="微軟正黑體" w:hAnsi="Arial" w:cs="Arial" w:hint="eastAsia"/>
          <w:sz w:val="16"/>
          <w:szCs w:val="16"/>
          <w:lang w:val="en-US" w:eastAsia="zh-TW"/>
        </w:rPr>
        <w:t xml:space="preserve">: </w:t>
      </w:r>
      <w:r w:rsidRPr="00DE5E12">
        <w:rPr>
          <w:rFonts w:ascii="Arial" w:eastAsia="微軟正黑體" w:hAnsi="Arial" w:cs="Arial" w:hint="eastAsia"/>
          <w:sz w:val="16"/>
          <w:szCs w:val="16"/>
          <w:lang w:val="en-US" w:eastAsia="zh-TW"/>
        </w:rPr>
        <w:t>風險排序依據每檔股票對整體波動率的貢獻</w:t>
      </w:r>
    </w:p>
    <w:p w14:paraId="51F20E88" w14:textId="2720DB6B" w:rsidR="005F0FB7" w:rsidRPr="00DE5E12" w:rsidRDefault="00DE5E12" w:rsidP="006A06F4">
      <w:pPr>
        <w:rPr>
          <w:rFonts w:ascii="Arial" w:eastAsia="微軟正黑體" w:hAnsi="Arial" w:cs="Arial"/>
          <w:b/>
          <w:bCs/>
          <w:lang w:val="en-US" w:eastAsia="zh-TW"/>
        </w:rPr>
      </w:pPr>
      <w:r w:rsidRPr="00DE5E12">
        <w:rPr>
          <w:rFonts w:ascii="Arial" w:eastAsia="微軟正黑體" w:hAnsi="Arial" w:cs="Arial" w:hint="eastAsia"/>
          <w:sz w:val="16"/>
          <w:szCs w:val="16"/>
          <w:lang w:val="en-US" w:eastAsia="zh-TW"/>
        </w:rPr>
        <w:t>資料</w:t>
      </w:r>
      <w:r w:rsidR="00E42DBA" w:rsidRPr="00DE5E12">
        <w:rPr>
          <w:rFonts w:ascii="Arial" w:eastAsia="微軟正黑體" w:hAnsi="Arial" w:cs="Arial" w:hint="eastAsia"/>
          <w:sz w:val="16"/>
          <w:szCs w:val="16"/>
          <w:lang w:val="en-US" w:eastAsia="zh-TW"/>
        </w:rPr>
        <w:t>來源：安聯</w:t>
      </w:r>
      <w:r w:rsidR="00BF7894">
        <w:rPr>
          <w:rFonts w:ascii="Arial" w:eastAsia="微軟正黑體" w:hAnsi="Arial" w:cs="Arial" w:hint="eastAsia"/>
          <w:sz w:val="16"/>
          <w:szCs w:val="16"/>
          <w:lang w:val="en-US" w:eastAsia="zh-TW"/>
        </w:rPr>
        <w:t>環球</w:t>
      </w:r>
      <w:r w:rsidR="00E42DBA" w:rsidRPr="00DE5E12">
        <w:rPr>
          <w:rFonts w:ascii="Arial" w:eastAsia="微軟正黑體" w:hAnsi="Arial" w:cs="Arial" w:hint="eastAsia"/>
          <w:sz w:val="16"/>
          <w:szCs w:val="16"/>
          <w:lang w:val="en-US" w:eastAsia="zh-TW"/>
        </w:rPr>
        <w:t>投資</w:t>
      </w:r>
      <w:r w:rsidRPr="00DE5E12">
        <w:rPr>
          <w:rFonts w:ascii="Arial" w:eastAsia="微軟正黑體" w:hAnsi="Arial" w:cs="Arial" w:hint="eastAsia"/>
          <w:sz w:val="16"/>
          <w:szCs w:val="16"/>
          <w:lang w:val="en-US" w:eastAsia="zh-TW"/>
        </w:rPr>
        <w:t>整</w:t>
      </w:r>
      <w:r w:rsidR="00E42DBA" w:rsidRPr="00DE5E12">
        <w:rPr>
          <w:rFonts w:ascii="Arial" w:eastAsia="微軟正黑體" w:hAnsi="Arial" w:cs="Arial" w:hint="eastAsia"/>
          <w:sz w:val="16"/>
          <w:szCs w:val="16"/>
          <w:lang w:val="en-US" w:eastAsia="zh-TW"/>
        </w:rPr>
        <w:t>理，使用彭博資料對</w:t>
      </w:r>
      <w:r w:rsidR="00E42DBA" w:rsidRPr="00DE5E12">
        <w:rPr>
          <w:rFonts w:ascii="Arial" w:eastAsia="微軟正黑體" w:hAnsi="Arial" w:cs="Arial"/>
          <w:sz w:val="16"/>
          <w:szCs w:val="16"/>
          <w:lang w:val="en-US" w:eastAsia="zh-TW"/>
        </w:rPr>
        <w:t xml:space="preserve"> 500 </w:t>
      </w:r>
      <w:r w:rsidRPr="00DE5E12">
        <w:rPr>
          <w:rFonts w:ascii="Arial" w:eastAsia="微軟正黑體" w:hAnsi="Arial" w:cs="Arial" w:hint="eastAsia"/>
          <w:sz w:val="16"/>
          <w:szCs w:val="16"/>
          <w:lang w:val="en-US" w:eastAsia="zh-TW"/>
        </w:rPr>
        <w:t>支</w:t>
      </w:r>
      <w:r w:rsidR="00E42DBA" w:rsidRPr="00DE5E12">
        <w:rPr>
          <w:rFonts w:ascii="Arial" w:eastAsia="微軟正黑體" w:hAnsi="Arial" w:cs="Arial" w:hint="eastAsia"/>
          <w:sz w:val="16"/>
          <w:szCs w:val="16"/>
          <w:lang w:val="en-US" w:eastAsia="zh-TW"/>
        </w:rPr>
        <w:t>成分股組成的美國大型股指數進行分析。截至</w:t>
      </w:r>
      <w:r w:rsidR="00E42DBA" w:rsidRPr="00DE5E12">
        <w:rPr>
          <w:rFonts w:ascii="Arial" w:eastAsia="微軟正黑體" w:hAnsi="Arial" w:cs="Arial"/>
          <w:sz w:val="16"/>
          <w:szCs w:val="16"/>
          <w:lang w:val="en-US" w:eastAsia="zh-TW"/>
        </w:rPr>
        <w:t xml:space="preserve"> 2025 </w:t>
      </w:r>
      <w:r w:rsidR="00E42DBA" w:rsidRPr="00DE5E12">
        <w:rPr>
          <w:rFonts w:ascii="Arial" w:eastAsia="微軟正黑體" w:hAnsi="Arial" w:cs="Arial" w:hint="eastAsia"/>
          <w:sz w:val="16"/>
          <w:szCs w:val="16"/>
          <w:lang w:val="en-US" w:eastAsia="zh-TW"/>
        </w:rPr>
        <w:t>年</w:t>
      </w:r>
      <w:r w:rsidR="00E42DBA" w:rsidRPr="00DE5E12">
        <w:rPr>
          <w:rFonts w:ascii="Arial" w:eastAsia="微軟正黑體" w:hAnsi="Arial" w:cs="Arial"/>
          <w:sz w:val="16"/>
          <w:szCs w:val="16"/>
          <w:lang w:val="en-US" w:eastAsia="zh-TW"/>
        </w:rPr>
        <w:t xml:space="preserve"> 3 </w:t>
      </w:r>
      <w:r w:rsidR="00E42DBA" w:rsidRPr="00DE5E12">
        <w:rPr>
          <w:rFonts w:ascii="Arial" w:eastAsia="微軟正黑體" w:hAnsi="Arial" w:cs="Arial" w:hint="eastAsia"/>
          <w:sz w:val="16"/>
          <w:szCs w:val="16"/>
          <w:lang w:val="en-US" w:eastAsia="zh-TW"/>
        </w:rPr>
        <w:t>月</w:t>
      </w:r>
      <w:r w:rsidR="00E42DBA" w:rsidRPr="00DE5E12">
        <w:rPr>
          <w:rFonts w:ascii="Arial" w:eastAsia="微軟正黑體" w:hAnsi="Arial" w:cs="Arial"/>
          <w:sz w:val="16"/>
          <w:szCs w:val="16"/>
          <w:lang w:val="en-US" w:eastAsia="zh-TW"/>
        </w:rPr>
        <w:t xml:space="preserve"> 27 </w:t>
      </w:r>
      <w:r w:rsidR="00E42DBA" w:rsidRPr="00DE5E12">
        <w:rPr>
          <w:rFonts w:ascii="Arial" w:eastAsia="微軟正黑體" w:hAnsi="Arial" w:cs="Arial" w:hint="eastAsia"/>
          <w:sz w:val="16"/>
          <w:szCs w:val="16"/>
          <w:lang w:val="en-US" w:eastAsia="zh-TW"/>
        </w:rPr>
        <w:t>日，基於短期風險估計（對投資組合波動性的貢獻）。</w:t>
      </w:r>
      <w:r w:rsidR="0077310D" w:rsidRPr="00DE5E12">
        <w:rPr>
          <w:rFonts w:ascii="Arial" w:eastAsia="微軟正黑體" w:hAnsi="Arial" w:cs="Arial"/>
          <w:sz w:val="16"/>
          <w:szCs w:val="16"/>
          <w:lang w:val="en-US" w:eastAsia="zh-TW"/>
        </w:rPr>
        <w:t xml:space="preserve"> </w:t>
      </w:r>
    </w:p>
    <w:p w14:paraId="3180DA57" w14:textId="77777777" w:rsidR="001344BF" w:rsidRPr="00A813DE" w:rsidRDefault="001344BF" w:rsidP="00152616">
      <w:pPr>
        <w:rPr>
          <w:rFonts w:ascii="Arial" w:eastAsia="微軟正黑體" w:hAnsi="Arial" w:cs="Arial"/>
          <w:b/>
          <w:bCs/>
          <w:sz w:val="22"/>
          <w:szCs w:val="22"/>
          <w:highlight w:val="yellow"/>
          <w:lang w:val="en-US" w:eastAsia="zh-TW"/>
        </w:rPr>
      </w:pPr>
    </w:p>
    <w:p w14:paraId="073C0157" w14:textId="0EA91E43" w:rsidR="0049309A" w:rsidRPr="00865E79" w:rsidRDefault="00E42DBA" w:rsidP="0049309A">
      <w:pPr>
        <w:rPr>
          <w:rFonts w:ascii="Arial" w:eastAsia="微軟正黑體" w:hAnsi="Arial" w:cs="Arial"/>
          <w:sz w:val="22"/>
          <w:szCs w:val="22"/>
          <w:lang w:val="en-US" w:eastAsia="zh-TW"/>
        </w:rPr>
      </w:pPr>
      <w:r w:rsidRPr="00865E79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有效市場理論受到挑戰</w:t>
      </w:r>
    </w:p>
    <w:p w14:paraId="240C1297" w14:textId="3D7AED4E" w:rsidR="0049309A" w:rsidRPr="00865E79" w:rsidRDefault="00DE5E12" w:rsidP="0049309A">
      <w:pPr>
        <w:rPr>
          <w:rFonts w:ascii="Arial" w:eastAsia="微軟正黑體" w:hAnsi="Arial" w:cs="Arial"/>
          <w:sz w:val="22"/>
          <w:szCs w:val="22"/>
          <w:lang w:val="en-US" w:eastAsia="zh-TW"/>
        </w:rPr>
      </w:pP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市場因少數</w:t>
      </w:r>
      <w:r w:rsidR="00E42DBA"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股票的集中</w:t>
      </w: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度太高進而</w:t>
      </w:r>
      <w:r w:rsidR="00E42DBA"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對</w:t>
      </w: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「</w:t>
      </w:r>
      <w:r w:rsidR="00E42DBA"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有效市場理論</w:t>
      </w: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」</w:t>
      </w:r>
      <w:r w:rsidR="00E42DBA"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構成了挑戰。有效市場理論認為，資本市場通過</w:t>
      </w:r>
      <w:r w:rsidR="000C393C"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投資人</w:t>
      </w:r>
      <w:r w:rsidR="00E42DBA"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的集體行動，</w:t>
      </w: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隨時都在</w:t>
      </w:r>
      <w:r w:rsidR="00E42DBA"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決定每家公司的公平市場價值。</w:t>
      </w: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你可以把它想像成</w:t>
      </w:r>
      <w:r w:rsidR="00E42DBA"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一個「優化引擎」，決定市場的整體結構。</w:t>
      </w:r>
    </w:p>
    <w:p w14:paraId="7E31F63B" w14:textId="3F607D32" w:rsidR="0049309A" w:rsidRPr="00865E79" w:rsidRDefault="00E42DBA" w:rsidP="0049309A">
      <w:pPr>
        <w:rPr>
          <w:rFonts w:ascii="Arial" w:eastAsia="微軟正黑體" w:hAnsi="Arial" w:cs="Arial"/>
          <w:sz w:val="22"/>
          <w:szCs w:val="22"/>
          <w:lang w:val="en-US" w:eastAsia="zh-TW"/>
        </w:rPr>
      </w:pP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如果這個引擎運行順暢，投資於市值加權</w:t>
      </w:r>
      <w:proofErr w:type="gramStart"/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的</w:t>
      </w:r>
      <w:r w:rsidR="00865E79"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投組</w:t>
      </w: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是</w:t>
      </w:r>
      <w:proofErr w:type="gramEnd"/>
      <w:r w:rsidR="00865E79"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正確</w:t>
      </w: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的</w:t>
      </w:r>
      <w:r w:rsidR="00865E79"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，且</w:t>
      </w:r>
      <w:r w:rsidR="00DE5E12"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最簡單</w:t>
      </w:r>
      <w:r w:rsidR="00865E79"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的方式</w:t>
      </w:r>
      <w:r w:rsidR="00DE5E12"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就</w:t>
      </w: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是</w:t>
      </w:r>
      <w:r w:rsidR="00DE5E12"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透過被動投資</w:t>
      </w: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，</w:t>
      </w:r>
      <w:r w:rsidR="00865E79"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進而</w:t>
      </w: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複製市場的組成結構。</w:t>
      </w:r>
    </w:p>
    <w:p w14:paraId="5DC02B4B" w14:textId="79268283" w:rsidR="0049309A" w:rsidRPr="00865E79" w:rsidRDefault="00E42DBA" w:rsidP="0049309A">
      <w:pPr>
        <w:rPr>
          <w:rFonts w:ascii="Arial" w:eastAsia="微軟正黑體" w:hAnsi="Arial" w:cs="Arial"/>
          <w:sz w:val="22"/>
          <w:szCs w:val="22"/>
          <w:lang w:val="en-US" w:eastAsia="zh-TW"/>
        </w:rPr>
      </w:pP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但幾個因素</w:t>
      </w:r>
      <w:r w:rsidR="00865E79"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讓</w:t>
      </w: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我們</w:t>
      </w:r>
      <w:r w:rsidR="00865E79"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認為現在</w:t>
      </w: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這個「優化引擎」</w:t>
      </w:r>
      <w:r w:rsidR="00865E79"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所</w:t>
      </w: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產生的股票市場目前可能無法高效運作：</w:t>
      </w:r>
    </w:p>
    <w:p w14:paraId="3049D1CF" w14:textId="1F60ABC8" w:rsidR="0049309A" w:rsidRPr="0049309A" w:rsidRDefault="00E42DBA" w:rsidP="0049309A">
      <w:pPr>
        <w:rPr>
          <w:rFonts w:ascii="Arial" w:eastAsia="微軟正黑體" w:hAnsi="Arial" w:cs="Arial"/>
          <w:sz w:val="22"/>
          <w:szCs w:val="22"/>
          <w:lang w:val="en-US" w:eastAsia="zh-TW"/>
        </w:rPr>
      </w:pPr>
      <w:r w:rsidRPr="00865E79">
        <w:rPr>
          <w:rFonts w:ascii="Arial" w:eastAsia="微軟正黑體" w:hAnsi="Arial" w:cs="Arial"/>
          <w:sz w:val="22"/>
          <w:szCs w:val="22"/>
          <w:lang w:val="en-US" w:eastAsia="zh-TW"/>
        </w:rPr>
        <w:t xml:space="preserve">1. </w:t>
      </w: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許多</w:t>
      </w:r>
      <w:r w:rsidR="000C393C"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投資人</w:t>
      </w: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認為美國股票在長期</w:t>
      </w:r>
      <w:r w:rsidR="00865E79"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均可帶來長期報酬</w:t>
      </w: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：</w:t>
      </w:r>
      <w:r w:rsidRPr="00865E79">
        <w:rPr>
          <w:rFonts w:ascii="Arial" w:eastAsia="微軟正黑體" w:hAnsi="Arial" w:cs="Arial"/>
          <w:sz w:val="22"/>
          <w:szCs w:val="22"/>
          <w:lang w:val="en-US" w:eastAsia="zh-TW"/>
        </w:rPr>
        <w:t xml:space="preserve"> </w:t>
      </w: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事實上，標準普爾</w:t>
      </w:r>
      <w:r w:rsidRPr="00865E79">
        <w:rPr>
          <w:rFonts w:ascii="Arial" w:eastAsia="微軟正黑體" w:hAnsi="Arial" w:cs="Arial"/>
          <w:sz w:val="22"/>
          <w:szCs w:val="22"/>
          <w:lang w:val="en-US" w:eastAsia="zh-TW"/>
        </w:rPr>
        <w:t xml:space="preserve"> 500 </w:t>
      </w: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指數近年來表現卓越，在</w:t>
      </w:r>
      <w:r w:rsidRPr="00865E79">
        <w:rPr>
          <w:rFonts w:ascii="Arial" w:eastAsia="微軟正黑體" w:hAnsi="Arial" w:cs="Arial"/>
          <w:sz w:val="22"/>
          <w:szCs w:val="22"/>
          <w:lang w:val="en-US" w:eastAsia="zh-TW"/>
        </w:rPr>
        <w:t xml:space="preserve"> 2009 </w:t>
      </w: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年至</w:t>
      </w:r>
      <w:r w:rsidRPr="00865E79">
        <w:rPr>
          <w:rFonts w:ascii="Arial" w:eastAsia="微軟正黑體" w:hAnsi="Arial" w:cs="Arial"/>
          <w:sz w:val="22"/>
          <w:szCs w:val="22"/>
          <w:lang w:val="en-US" w:eastAsia="zh-TW"/>
        </w:rPr>
        <w:t xml:space="preserve"> 2024 </w:t>
      </w: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年間總回報率高達</w:t>
      </w:r>
      <w:r w:rsidRPr="00865E79">
        <w:rPr>
          <w:rFonts w:ascii="Arial" w:eastAsia="微軟正黑體" w:hAnsi="Arial" w:cs="Arial"/>
          <w:sz w:val="22"/>
          <w:szCs w:val="22"/>
          <w:lang w:val="en-US" w:eastAsia="zh-TW"/>
        </w:rPr>
        <w:t xml:space="preserve"> 788%</w:t>
      </w: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。</w:t>
      </w:r>
      <w:r w:rsidR="000C393C"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投資人</w:t>
      </w: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因此獲得的</w:t>
      </w:r>
      <w:r w:rsidR="00865E79"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報酬</w:t>
      </w: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讓一些人認為強勁表現將持續下去。</w:t>
      </w:r>
      <w:r w:rsidR="00865E79"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然</w:t>
      </w: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美國股市目前看起來估值過高：美國股市的市值約為</w:t>
      </w:r>
      <w:r w:rsidRPr="00865E79">
        <w:rPr>
          <w:rFonts w:ascii="Arial" w:eastAsia="微軟正黑體" w:hAnsi="Arial" w:cs="Arial"/>
          <w:sz w:val="22"/>
          <w:szCs w:val="22"/>
          <w:lang w:val="en-US" w:eastAsia="zh-TW"/>
        </w:rPr>
        <w:t>65</w:t>
      </w:r>
      <w:r w:rsidR="00865E79"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兆</w:t>
      </w: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美</w:t>
      </w:r>
      <w:r w:rsid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元</w:t>
      </w:r>
      <w:r w:rsidR="00865E79">
        <w:rPr>
          <w:rFonts w:ascii="Arial" w:eastAsia="微軟正黑體" w:hAnsi="Arial" w:cs="Arial" w:hint="eastAsia"/>
          <w:sz w:val="22"/>
          <w:szCs w:val="22"/>
          <w:vertAlign w:val="superscript"/>
          <w:lang w:val="en-US" w:eastAsia="zh-TW"/>
        </w:rPr>
        <w:t>1</w:t>
      </w:r>
      <w:proofErr w:type="gramStart"/>
      <w:r w:rsidRPr="00865E79">
        <w:rPr>
          <w:rFonts w:ascii="Arial" w:eastAsia="微軟正黑體" w:hAnsi="Arial" w:cs="Arial"/>
          <w:sz w:val="22"/>
          <w:szCs w:val="22"/>
          <w:lang w:val="en-US" w:eastAsia="zh-TW"/>
        </w:rPr>
        <w:t>—</w:t>
      </w:r>
      <w:proofErr w:type="gramEnd"/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相當於美國</w:t>
      </w:r>
      <w:r w:rsidR="00865E79"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整個</w:t>
      </w: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年度</w:t>
      </w:r>
      <w:r w:rsidRPr="00865E79">
        <w:rPr>
          <w:rFonts w:ascii="Arial" w:eastAsia="微軟正黑體" w:hAnsi="Arial" w:cs="Arial"/>
          <w:sz w:val="22"/>
          <w:szCs w:val="22"/>
          <w:lang w:val="en-US" w:eastAsia="zh-TW"/>
        </w:rPr>
        <w:t>GDP</w:t>
      </w: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的兩倍，約占全球市值的</w:t>
      </w:r>
      <w:r w:rsidRPr="00865E79">
        <w:rPr>
          <w:rFonts w:ascii="Arial" w:eastAsia="微軟正黑體" w:hAnsi="Arial" w:cs="Arial"/>
          <w:sz w:val="22"/>
          <w:szCs w:val="22"/>
          <w:lang w:val="en-US" w:eastAsia="zh-TW"/>
        </w:rPr>
        <w:t>50%</w:t>
      </w:r>
      <w:r w:rsidRPr="00865E79">
        <w:rPr>
          <w:rFonts w:ascii="Arial" w:eastAsia="微軟正黑體" w:hAnsi="Arial" w:cs="Arial" w:hint="eastAsia"/>
          <w:sz w:val="22"/>
          <w:szCs w:val="22"/>
          <w:lang w:val="en-US" w:eastAsia="zh-TW"/>
        </w:rPr>
        <w:t>。</w:t>
      </w:r>
    </w:p>
    <w:p w14:paraId="1B02CBD1" w14:textId="77777777" w:rsidR="0049309A" w:rsidRPr="0049309A" w:rsidRDefault="0049309A" w:rsidP="0049309A">
      <w:pPr>
        <w:rPr>
          <w:rFonts w:ascii="Arial" w:eastAsia="微軟正黑體" w:hAnsi="Arial" w:cs="Arial"/>
          <w:sz w:val="22"/>
          <w:szCs w:val="22"/>
          <w:lang w:val="en-US" w:eastAsia="zh-TW"/>
        </w:rPr>
      </w:pPr>
    </w:p>
    <w:p w14:paraId="5551CDB1" w14:textId="3ABFE8A4" w:rsidR="0049309A" w:rsidRPr="0049309A" w:rsidRDefault="00E42DBA" w:rsidP="0049309A">
      <w:pPr>
        <w:rPr>
          <w:rFonts w:ascii="Arial" w:eastAsia="微軟正黑體" w:hAnsi="Arial" w:cs="Arial"/>
          <w:sz w:val="22"/>
          <w:szCs w:val="22"/>
          <w:lang w:val="en-US" w:eastAsia="zh-TW"/>
        </w:rPr>
      </w:pPr>
      <w:r w:rsidRPr="0049309A">
        <w:rPr>
          <w:rFonts w:ascii="Arial" w:eastAsia="微軟正黑體" w:hAnsi="Arial" w:cs="Arial"/>
          <w:b/>
          <w:bCs/>
          <w:sz w:val="22"/>
          <w:szCs w:val="22"/>
          <w:lang w:val="en-US" w:eastAsia="zh-TW"/>
        </w:rPr>
        <w:lastRenderedPageBreak/>
        <w:t xml:space="preserve">2. </w:t>
      </w:r>
      <w:r w:rsidRPr="0049309A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被動資金</w:t>
      </w:r>
      <w:r w:rsidR="00865E79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的</w:t>
      </w:r>
      <w:r w:rsidRPr="0049309A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流入推</w:t>
      </w:r>
      <w:r w:rsidR="00865E79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升</w:t>
      </w:r>
      <w:r w:rsidRPr="0049309A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股價：</w:t>
      </w:r>
      <w:r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近年來，大量資金湧入被動</w:t>
      </w:r>
      <w:r w:rsidR="008172BA">
        <w:rPr>
          <w:rFonts w:ascii="Arial" w:eastAsia="微軟正黑體" w:hAnsi="Arial" w:cs="Arial" w:hint="eastAsia"/>
          <w:sz w:val="22"/>
          <w:szCs w:val="22"/>
          <w:lang w:val="en-US" w:eastAsia="zh-TW"/>
        </w:rPr>
        <w:t>式美</w:t>
      </w:r>
      <w:proofErr w:type="gramStart"/>
      <w:r w:rsidR="008172BA">
        <w:rPr>
          <w:rFonts w:ascii="Arial" w:eastAsia="微軟正黑體" w:hAnsi="Arial" w:cs="Arial" w:hint="eastAsia"/>
          <w:sz w:val="22"/>
          <w:szCs w:val="22"/>
          <w:lang w:val="en-US" w:eastAsia="zh-TW"/>
        </w:rPr>
        <w:t>股投組</w:t>
      </w:r>
      <w:proofErr w:type="gramEnd"/>
      <w:r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，推</w:t>
      </w:r>
      <w:r w:rsidR="008172BA">
        <w:rPr>
          <w:rFonts w:ascii="Arial" w:eastAsia="微軟正黑體" w:hAnsi="Arial" w:cs="Arial" w:hint="eastAsia"/>
          <w:sz w:val="22"/>
          <w:szCs w:val="22"/>
          <w:lang w:val="en-US" w:eastAsia="zh-TW"/>
        </w:rPr>
        <w:t>升</w:t>
      </w:r>
      <w:r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了市值加權指數的股價，尤其是其中最大成分股（如美國七大科技巨頭）。隨著這些</w:t>
      </w:r>
      <w:proofErr w:type="gramStart"/>
      <w:r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權重股表現</w:t>
      </w:r>
      <w:proofErr w:type="gramEnd"/>
      <w:r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優異，被動投資的吸引力</w:t>
      </w:r>
      <w:r w:rsidR="008172BA">
        <w:rPr>
          <w:rFonts w:ascii="Arial" w:eastAsia="微軟正黑體" w:hAnsi="Arial" w:cs="Arial" w:hint="eastAsia"/>
          <w:sz w:val="22"/>
          <w:szCs w:val="22"/>
          <w:lang w:val="en-US" w:eastAsia="zh-TW"/>
        </w:rPr>
        <w:t>更</w:t>
      </w:r>
      <w:r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強，進一步加劇了股價螺旋式上漲的趨勢。</w:t>
      </w:r>
    </w:p>
    <w:p w14:paraId="3E4CE50E" w14:textId="77777777" w:rsidR="0049309A" w:rsidRPr="0049309A" w:rsidRDefault="0049309A" w:rsidP="0049309A">
      <w:pPr>
        <w:rPr>
          <w:rFonts w:ascii="Arial" w:eastAsia="微軟正黑體" w:hAnsi="Arial" w:cs="Arial"/>
          <w:sz w:val="22"/>
          <w:szCs w:val="22"/>
          <w:lang w:val="en-US" w:eastAsia="zh-TW"/>
        </w:rPr>
      </w:pPr>
    </w:p>
    <w:p w14:paraId="26FC1730" w14:textId="59559AD4" w:rsidR="0049309A" w:rsidRPr="0049309A" w:rsidRDefault="00E42DBA" w:rsidP="0049309A">
      <w:pPr>
        <w:rPr>
          <w:rFonts w:ascii="Arial" w:eastAsia="微軟正黑體" w:hAnsi="Arial" w:cs="Arial"/>
          <w:sz w:val="22"/>
          <w:szCs w:val="22"/>
          <w:lang w:val="en-US" w:eastAsia="zh-TW"/>
        </w:rPr>
      </w:pPr>
      <w:r w:rsidRPr="008172BA">
        <w:rPr>
          <w:rFonts w:ascii="Arial" w:eastAsia="微軟正黑體" w:hAnsi="Arial" w:cs="Arial"/>
          <w:b/>
          <w:bCs/>
          <w:sz w:val="22"/>
          <w:szCs w:val="22"/>
          <w:lang w:val="en-US" w:eastAsia="zh-TW"/>
        </w:rPr>
        <w:t>3</w:t>
      </w:r>
      <w:r w:rsidRPr="0049309A">
        <w:rPr>
          <w:rFonts w:ascii="Arial" w:eastAsia="微軟正黑體" w:hAnsi="Arial" w:cs="Arial"/>
          <w:sz w:val="22"/>
          <w:szCs w:val="22"/>
          <w:lang w:val="en-US" w:eastAsia="zh-TW"/>
        </w:rPr>
        <w:t xml:space="preserve">. </w:t>
      </w:r>
      <w:r w:rsidR="008172BA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跟風可能帶來假的安全感</w:t>
      </w:r>
      <w:r w:rsidRPr="0049309A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：</w:t>
      </w:r>
      <w:r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上述兩個趨勢</w:t>
      </w:r>
      <w:proofErr w:type="gramStart"/>
      <w:r w:rsidRPr="0049309A">
        <w:rPr>
          <w:rFonts w:ascii="Arial" w:eastAsia="微軟正黑體" w:hAnsi="Arial" w:cs="Arial"/>
          <w:sz w:val="22"/>
          <w:szCs w:val="22"/>
          <w:lang w:val="en-US" w:eastAsia="zh-TW"/>
        </w:rPr>
        <w:t>——</w:t>
      </w:r>
      <w:proofErr w:type="gramEnd"/>
      <w:r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對美國股市持續走強的信念以及被動資金流</w:t>
      </w:r>
      <w:r w:rsidR="008172BA">
        <w:rPr>
          <w:rFonts w:ascii="Arial" w:eastAsia="微軟正黑體" w:hAnsi="Arial" w:cs="Arial" w:hint="eastAsia"/>
          <w:sz w:val="22"/>
          <w:szCs w:val="22"/>
          <w:lang w:val="en-US" w:eastAsia="zh-TW"/>
        </w:rPr>
        <w:t>入</w:t>
      </w:r>
      <w:r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導致</w:t>
      </w:r>
      <w:r w:rsidR="008172BA">
        <w:rPr>
          <w:rFonts w:ascii="Arial" w:eastAsia="微軟正黑體" w:hAnsi="Arial" w:cs="Arial" w:hint="eastAsia"/>
          <w:sz w:val="22"/>
          <w:szCs w:val="22"/>
          <w:lang w:val="en-US" w:eastAsia="zh-TW"/>
        </w:rPr>
        <w:t>股價</w:t>
      </w:r>
      <w:r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上升</w:t>
      </w:r>
      <w:proofErr w:type="gramStart"/>
      <w:r w:rsidRPr="0049309A">
        <w:rPr>
          <w:rFonts w:ascii="Arial" w:eastAsia="微軟正黑體" w:hAnsi="Arial" w:cs="Arial"/>
          <w:sz w:val="22"/>
          <w:szCs w:val="22"/>
          <w:lang w:val="en-US" w:eastAsia="zh-TW"/>
        </w:rPr>
        <w:t>——</w:t>
      </w:r>
      <w:proofErr w:type="gramEnd"/>
      <w:r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導致</w:t>
      </w:r>
      <w:r w:rsidR="008172BA">
        <w:rPr>
          <w:rFonts w:ascii="Arial" w:eastAsia="微軟正黑體" w:hAnsi="Arial" w:cs="Arial" w:hint="eastAsia"/>
          <w:sz w:val="22"/>
          <w:szCs w:val="22"/>
          <w:lang w:val="en-US" w:eastAsia="zh-TW"/>
        </w:rPr>
        <w:t>很多</w:t>
      </w:r>
      <w:r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投資組合的</w:t>
      </w:r>
      <w:r w:rsidR="008172BA">
        <w:rPr>
          <w:rFonts w:ascii="Arial" w:eastAsia="微軟正黑體" w:hAnsi="Arial" w:cs="Arial" w:hint="eastAsia"/>
          <w:sz w:val="22"/>
          <w:szCs w:val="22"/>
          <w:lang w:val="en-US" w:eastAsia="zh-TW"/>
        </w:rPr>
        <w:t>成分股都</w:t>
      </w:r>
      <w:r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非常相似。一些</w:t>
      </w:r>
      <w:r w:rsidR="000C393C">
        <w:rPr>
          <w:rFonts w:ascii="Arial" w:eastAsia="微軟正黑體" w:hAnsi="Arial" w:cs="Arial" w:hint="eastAsia"/>
          <w:sz w:val="22"/>
          <w:szCs w:val="22"/>
          <w:lang w:val="en-US" w:eastAsia="zh-TW"/>
        </w:rPr>
        <w:t>投資人</w:t>
      </w:r>
      <w:r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更願意追隨</w:t>
      </w:r>
      <w:r w:rsidR="008172BA">
        <w:rPr>
          <w:rFonts w:ascii="Arial" w:eastAsia="微軟正黑體" w:hAnsi="Arial" w:cs="Arial" w:hint="eastAsia"/>
          <w:sz w:val="22"/>
          <w:szCs w:val="22"/>
          <w:lang w:val="en-US" w:eastAsia="zh-TW"/>
        </w:rPr>
        <w:t>這個</w:t>
      </w:r>
      <w:r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共識，而不是採取逆向</w:t>
      </w:r>
      <w:r w:rsidR="008172BA">
        <w:rPr>
          <w:rFonts w:ascii="Arial" w:eastAsia="微軟正黑體" w:hAnsi="Arial" w:cs="Arial" w:hint="eastAsia"/>
          <w:sz w:val="22"/>
          <w:szCs w:val="22"/>
          <w:lang w:val="en-US" w:eastAsia="zh-TW"/>
        </w:rPr>
        <w:t>的</w:t>
      </w:r>
      <w:r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投資策略。然而，追隨「羊群」的</w:t>
      </w:r>
      <w:r w:rsidR="000C393C">
        <w:rPr>
          <w:rFonts w:ascii="Arial" w:eastAsia="微軟正黑體" w:hAnsi="Arial" w:cs="Arial" w:hint="eastAsia"/>
          <w:sz w:val="22"/>
          <w:szCs w:val="22"/>
          <w:lang w:val="en-US" w:eastAsia="zh-TW"/>
        </w:rPr>
        <w:t>投資人</w:t>
      </w:r>
      <w:r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越多，風險溢價就越小，因為對最大股票的需求增加會降低潛在回報。</w:t>
      </w:r>
    </w:p>
    <w:p w14:paraId="301262C2" w14:textId="684495D0" w:rsidR="0049309A" w:rsidRPr="0049309A" w:rsidRDefault="008172BA" w:rsidP="0049309A">
      <w:pPr>
        <w:rPr>
          <w:rFonts w:ascii="Arial" w:eastAsia="微軟正黑體" w:hAnsi="Arial" w:cs="Arial"/>
          <w:sz w:val="22"/>
          <w:szCs w:val="22"/>
          <w:lang w:val="en-US" w:eastAsia="zh-TW"/>
        </w:rPr>
      </w:pPr>
      <w:r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 xml:space="preserve">4. </w:t>
      </w:r>
      <w:r w:rsidR="00E42DBA" w:rsidRPr="0049309A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投機</w:t>
      </w:r>
      <w:r w:rsidR="003A0764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客</w:t>
      </w:r>
      <w:r w:rsidR="00E42DBA" w:rsidRPr="0049309A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助長了市場狂熱：</w:t>
      </w:r>
      <w:r w:rsidR="00E42DBA"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市場狂熱可能</w:t>
      </w:r>
      <w:r w:rsidR="003A0764">
        <w:rPr>
          <w:rFonts w:ascii="Arial" w:eastAsia="微軟正黑體" w:hAnsi="Arial" w:cs="Arial" w:hint="eastAsia"/>
          <w:sz w:val="22"/>
          <w:szCs w:val="22"/>
          <w:lang w:val="en-US" w:eastAsia="zh-TW"/>
        </w:rPr>
        <w:t>因</w:t>
      </w:r>
      <w:r w:rsidR="000C393C">
        <w:rPr>
          <w:rFonts w:ascii="Arial" w:eastAsia="微軟正黑體" w:hAnsi="Arial" w:cs="Arial" w:hint="eastAsia"/>
          <w:sz w:val="22"/>
          <w:szCs w:val="22"/>
          <w:lang w:val="en-US" w:eastAsia="zh-TW"/>
        </w:rPr>
        <w:t>投資人</w:t>
      </w:r>
      <w:r w:rsidR="003A0764">
        <w:rPr>
          <w:rFonts w:ascii="Arial" w:eastAsia="微軟正黑體" w:hAnsi="Arial" w:cs="Arial" w:hint="eastAsia"/>
          <w:sz w:val="22"/>
          <w:szCs w:val="22"/>
          <w:lang w:val="en-US" w:eastAsia="zh-TW"/>
        </w:rPr>
        <w:t>認為</w:t>
      </w:r>
      <w:r w:rsidR="00E42DBA"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必須參與</w:t>
      </w:r>
      <w:r w:rsidR="003A0764">
        <w:rPr>
          <w:rFonts w:ascii="Arial" w:eastAsia="微軟正黑體" w:hAnsi="Arial" w:cs="Arial" w:hint="eastAsia"/>
          <w:sz w:val="22"/>
          <w:szCs w:val="22"/>
          <w:lang w:val="en-US" w:eastAsia="zh-TW"/>
        </w:rPr>
        <w:t>，</w:t>
      </w:r>
      <w:r w:rsidR="00E42DBA"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而將資金配置到美國市場。</w:t>
      </w:r>
      <w:r w:rsidR="003A0764">
        <w:rPr>
          <w:rFonts w:ascii="Arial" w:eastAsia="微軟正黑體" w:hAnsi="Arial" w:cs="Arial" w:hint="eastAsia"/>
          <w:sz w:val="22"/>
          <w:szCs w:val="22"/>
          <w:lang w:val="en-US" w:eastAsia="zh-TW"/>
        </w:rPr>
        <w:t>其中可能因為被過去</w:t>
      </w:r>
      <w:r w:rsidR="00E42DBA"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表現吸引，而非當前</w:t>
      </w:r>
      <w:r w:rsidR="003A0764">
        <w:rPr>
          <w:rFonts w:ascii="Arial" w:eastAsia="微軟正黑體" w:hAnsi="Arial" w:cs="Arial" w:hint="eastAsia"/>
          <w:sz w:val="22"/>
          <w:szCs w:val="22"/>
          <w:lang w:val="en-US" w:eastAsia="zh-TW"/>
        </w:rPr>
        <w:t>資產的</w:t>
      </w:r>
      <w:r w:rsidR="00E42DBA"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基本面和未來</w:t>
      </w:r>
      <w:r w:rsidR="003A0764">
        <w:rPr>
          <w:rFonts w:ascii="Arial" w:eastAsia="微軟正黑體" w:hAnsi="Arial" w:cs="Arial" w:hint="eastAsia"/>
          <w:sz w:val="22"/>
          <w:szCs w:val="22"/>
          <w:lang w:val="en-US" w:eastAsia="zh-TW"/>
        </w:rPr>
        <w:t>成長</w:t>
      </w:r>
      <w:r w:rsidR="00E42DBA"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潛力。此類</w:t>
      </w:r>
      <w:r w:rsidR="000C393C">
        <w:rPr>
          <w:rFonts w:ascii="Arial" w:eastAsia="微軟正黑體" w:hAnsi="Arial" w:cs="Arial" w:hint="eastAsia"/>
          <w:sz w:val="22"/>
          <w:szCs w:val="22"/>
          <w:lang w:val="en-US" w:eastAsia="zh-TW"/>
        </w:rPr>
        <w:t>投資人</w:t>
      </w:r>
      <w:r w:rsidR="00E42DBA"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最有可能將資金配置到表現最佳的股票，進一步推高</w:t>
      </w:r>
      <w:r>
        <w:rPr>
          <w:rFonts w:ascii="Arial" w:eastAsia="微軟正黑體" w:hAnsi="Arial" w:cs="Arial" w:hint="eastAsia"/>
          <w:sz w:val="22"/>
          <w:szCs w:val="22"/>
          <w:lang w:val="en-US" w:eastAsia="zh-TW"/>
        </w:rPr>
        <w:t>股票</w:t>
      </w:r>
      <w:r w:rsidR="00E42DBA"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價格。</w:t>
      </w:r>
    </w:p>
    <w:p w14:paraId="7F49CD3D" w14:textId="77777777" w:rsidR="00820C59" w:rsidRPr="00E42DBA" w:rsidRDefault="00820C59" w:rsidP="00152616">
      <w:pPr>
        <w:rPr>
          <w:rFonts w:ascii="Arial" w:eastAsia="微軟正黑體" w:hAnsi="Arial" w:cs="Arial"/>
          <w:b/>
          <w:bCs/>
          <w:sz w:val="22"/>
          <w:szCs w:val="22"/>
          <w:lang w:val="en-US" w:eastAsia="zh-TW"/>
        </w:rPr>
      </w:pPr>
    </w:p>
    <w:p w14:paraId="1A4B753A" w14:textId="7F1B1BB0" w:rsidR="00E42DBA" w:rsidRPr="00E42DBA" w:rsidRDefault="00E42DBA" w:rsidP="00E42DBA">
      <w:pPr>
        <w:rPr>
          <w:rFonts w:ascii="Arial" w:eastAsia="微軟正黑體" w:hAnsi="Arial" w:cs="Arial"/>
          <w:b/>
          <w:bCs/>
          <w:sz w:val="22"/>
          <w:szCs w:val="22"/>
          <w:lang w:val="en-US" w:eastAsia="zh-TW"/>
        </w:rPr>
      </w:pPr>
      <w:r w:rsidRPr="00E42DBA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主動</w:t>
      </w:r>
      <w:r w:rsidR="008172BA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式</w:t>
      </w:r>
      <w:r w:rsidRPr="00E42DBA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管理</w:t>
      </w:r>
      <w:r w:rsidR="008172BA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能帶來</w:t>
      </w:r>
      <w:r w:rsidRPr="00E42DBA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更分散的</w:t>
      </w:r>
      <w:r w:rsidR="008172BA">
        <w:rPr>
          <w:rFonts w:ascii="Arial" w:eastAsia="微軟正黑體" w:hAnsi="Arial" w:cs="Arial" w:hint="eastAsia"/>
          <w:b/>
          <w:bCs/>
          <w:sz w:val="22"/>
          <w:szCs w:val="22"/>
          <w:lang w:val="en-US" w:eastAsia="zh-TW"/>
        </w:rPr>
        <w:t>配置</w:t>
      </w:r>
    </w:p>
    <w:p w14:paraId="5BDCF2A8" w14:textId="358D44BE" w:rsidR="00E42DBA" w:rsidRPr="00E42DBA" w:rsidRDefault="00E42DBA" w:rsidP="00E42DBA">
      <w:pPr>
        <w:rPr>
          <w:rFonts w:ascii="Arial" w:eastAsia="微軟正黑體" w:hAnsi="Arial" w:cs="Arial"/>
          <w:sz w:val="22"/>
          <w:szCs w:val="22"/>
          <w:lang w:val="en-US" w:eastAsia="zh-TW"/>
        </w:rPr>
      </w:pP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許多</w:t>
      </w:r>
      <w:r w:rsidR="000C393C">
        <w:rPr>
          <w:rFonts w:ascii="Arial" w:eastAsia="微軟正黑體" w:hAnsi="Arial" w:cs="Arial" w:hint="eastAsia"/>
          <w:sz w:val="22"/>
          <w:szCs w:val="22"/>
          <w:lang w:val="en-US" w:eastAsia="zh-TW"/>
        </w:rPr>
        <w:t>投資人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認為，他們的投資表現是由數百</w:t>
      </w:r>
      <w:proofErr w:type="gramStart"/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檔</w:t>
      </w:r>
      <w:proofErr w:type="gramEnd"/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股票</w:t>
      </w:r>
      <w:r w:rsidR="003A0764">
        <w:rPr>
          <w:rFonts w:ascii="Arial" w:eastAsia="微軟正黑體" w:hAnsi="Arial" w:cs="Arial" w:hint="eastAsia"/>
          <w:sz w:val="22"/>
          <w:szCs w:val="22"/>
          <w:lang w:val="en-US" w:eastAsia="zh-TW"/>
        </w:rPr>
        <w:t>所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驅動的。事實上，他們的投資組合可能</w:t>
      </w:r>
      <w:r w:rsidR="008172BA">
        <w:rPr>
          <w:rFonts w:ascii="Arial" w:eastAsia="微軟正黑體" w:hAnsi="Arial" w:cs="Arial" w:hint="eastAsia"/>
          <w:sz w:val="22"/>
          <w:szCs w:val="22"/>
          <w:lang w:val="en-US" w:eastAsia="zh-TW"/>
        </w:rPr>
        <w:t>只有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受到少數幾</w:t>
      </w:r>
      <w:r w:rsidR="008172BA">
        <w:rPr>
          <w:rFonts w:ascii="Arial" w:eastAsia="微軟正黑體" w:hAnsi="Arial" w:cs="Arial" w:hint="eastAsia"/>
          <w:sz w:val="22"/>
          <w:szCs w:val="22"/>
          <w:lang w:val="en-US" w:eastAsia="zh-TW"/>
        </w:rPr>
        <w:t>檔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大</w:t>
      </w:r>
      <w:r w:rsidR="003A0764">
        <w:rPr>
          <w:rFonts w:ascii="Arial" w:eastAsia="微軟正黑體" w:hAnsi="Arial" w:cs="Arial" w:hint="eastAsia"/>
          <w:sz w:val="22"/>
          <w:szCs w:val="22"/>
          <w:lang w:val="en-US" w:eastAsia="zh-TW"/>
        </w:rPr>
        <w:t>型權值</w:t>
      </w:r>
      <w:r w:rsidR="008172BA">
        <w:rPr>
          <w:rFonts w:ascii="Arial" w:eastAsia="微軟正黑體" w:hAnsi="Arial" w:cs="Arial" w:hint="eastAsia"/>
          <w:sz w:val="22"/>
          <w:szCs w:val="22"/>
          <w:lang w:val="en-US" w:eastAsia="zh-TW"/>
        </w:rPr>
        <w:t>股而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影響。目前，大量投資組合高度集中於少數幾家美國公司，要繼續</w:t>
      </w:r>
      <w:r w:rsidR="003A0764">
        <w:rPr>
          <w:rFonts w:ascii="Arial" w:eastAsia="微軟正黑體" w:hAnsi="Arial" w:cs="Arial" w:hint="eastAsia"/>
          <w:sz w:val="22"/>
          <w:szCs w:val="22"/>
          <w:lang w:val="en-US" w:eastAsia="zh-TW"/>
        </w:rPr>
        <w:t>獲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得成功，它們依賴於兩大趨勢持續存在：</w:t>
      </w:r>
      <w:proofErr w:type="spellStart"/>
      <w:r w:rsidRPr="00E42DBA">
        <w:rPr>
          <w:rFonts w:ascii="Arial" w:eastAsia="微軟正黑體" w:hAnsi="Arial" w:cs="Arial"/>
          <w:sz w:val="22"/>
          <w:szCs w:val="22"/>
          <w:lang w:val="en-US" w:eastAsia="zh-TW"/>
        </w:rPr>
        <w:t>i</w:t>
      </w:r>
      <w:proofErr w:type="spellEnd"/>
      <w:proofErr w:type="gramStart"/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）</w:t>
      </w:r>
      <w:proofErr w:type="gramEnd"/>
      <w:r w:rsidRPr="00E42DBA">
        <w:rPr>
          <w:rFonts w:ascii="Arial" w:eastAsia="微軟正黑體" w:hAnsi="Arial" w:cs="Arial"/>
          <w:sz w:val="22"/>
          <w:szCs w:val="22"/>
          <w:lang w:val="en-US" w:eastAsia="zh-TW"/>
        </w:rPr>
        <w:t xml:space="preserve"> 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美國</w:t>
      </w:r>
      <w:r w:rsidR="008172BA">
        <w:rPr>
          <w:rFonts w:ascii="Arial" w:eastAsia="微軟正黑體" w:hAnsi="Arial" w:cs="Arial" w:hint="eastAsia"/>
          <w:sz w:val="22"/>
          <w:szCs w:val="22"/>
          <w:lang w:val="en-US" w:eastAsia="zh-TW"/>
        </w:rPr>
        <w:t>股市持續領先全球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，以及</w:t>
      </w:r>
      <w:r w:rsidRPr="00E42DBA">
        <w:rPr>
          <w:rFonts w:ascii="Arial" w:eastAsia="微軟正黑體" w:hAnsi="Arial" w:cs="Arial"/>
          <w:sz w:val="22"/>
          <w:szCs w:val="22"/>
          <w:lang w:val="en-US" w:eastAsia="zh-TW"/>
        </w:rPr>
        <w:t xml:space="preserve"> ii</w:t>
      </w:r>
      <w:proofErr w:type="gramStart"/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）</w:t>
      </w:r>
      <w:proofErr w:type="gramEnd"/>
      <w:r w:rsidRPr="00E42DBA">
        <w:rPr>
          <w:rFonts w:ascii="Arial" w:eastAsia="微軟正黑體" w:hAnsi="Arial" w:cs="Arial"/>
          <w:sz w:val="22"/>
          <w:szCs w:val="22"/>
          <w:lang w:val="en-US" w:eastAsia="zh-TW"/>
        </w:rPr>
        <w:t xml:space="preserve"> 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人工智慧領域的大型公司實現超額</w:t>
      </w:r>
      <w:r w:rsidR="003A0764">
        <w:rPr>
          <w:rFonts w:ascii="Arial" w:eastAsia="微軟正黑體" w:hAnsi="Arial" w:cs="Arial" w:hint="eastAsia"/>
          <w:sz w:val="22"/>
          <w:szCs w:val="22"/>
          <w:lang w:val="en-US" w:eastAsia="zh-TW"/>
        </w:rPr>
        <w:t>報酬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。</w:t>
      </w:r>
    </w:p>
    <w:p w14:paraId="465606E6" w14:textId="62F55A01" w:rsidR="00E42DBA" w:rsidRPr="00E42DBA" w:rsidRDefault="00E42DBA" w:rsidP="00E42DBA">
      <w:pPr>
        <w:rPr>
          <w:rFonts w:ascii="Arial" w:eastAsia="微軟正黑體" w:hAnsi="Arial" w:cs="Arial"/>
          <w:sz w:val="22"/>
          <w:szCs w:val="22"/>
          <w:lang w:val="en-US" w:eastAsia="zh-TW"/>
        </w:rPr>
      </w:pP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我們認為，對這</w:t>
      </w:r>
      <w:r w:rsidR="00C344F4">
        <w:rPr>
          <w:rFonts w:ascii="Arial" w:eastAsia="微軟正黑體" w:hAnsi="Arial" w:cs="Arial" w:hint="eastAsia"/>
          <w:sz w:val="22"/>
          <w:szCs w:val="22"/>
          <w:lang w:val="en-US" w:eastAsia="zh-TW"/>
        </w:rPr>
        <w:t>兩大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趨勢是否</w:t>
      </w:r>
      <w:r w:rsidR="00C344F4">
        <w:rPr>
          <w:rFonts w:ascii="Arial" w:eastAsia="微軟正黑體" w:hAnsi="Arial" w:cs="Arial" w:hint="eastAsia"/>
          <w:sz w:val="22"/>
          <w:szCs w:val="22"/>
          <w:lang w:val="en-US" w:eastAsia="zh-TW"/>
        </w:rPr>
        <w:t>延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續的不確定性</w:t>
      </w:r>
      <w:r w:rsidR="00C344F4">
        <w:rPr>
          <w:rFonts w:ascii="Arial" w:eastAsia="微軟正黑體" w:hAnsi="Arial" w:cs="Arial" w:hint="eastAsia"/>
          <w:sz w:val="22"/>
          <w:szCs w:val="22"/>
          <w:lang w:val="en-US" w:eastAsia="zh-TW"/>
        </w:rPr>
        <w:t>，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將促使更多</w:t>
      </w:r>
      <w:r w:rsidR="000C393C">
        <w:rPr>
          <w:rFonts w:ascii="Arial" w:eastAsia="微軟正黑體" w:hAnsi="Arial" w:cs="Arial" w:hint="eastAsia"/>
          <w:sz w:val="22"/>
          <w:szCs w:val="22"/>
          <w:lang w:val="en-US" w:eastAsia="zh-TW"/>
        </w:rPr>
        <w:t>投資人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重新評估</w:t>
      </w:r>
      <w:r w:rsidR="00C344F4">
        <w:rPr>
          <w:rFonts w:ascii="Arial" w:eastAsia="微軟正黑體" w:hAnsi="Arial" w:cs="Arial" w:hint="eastAsia"/>
          <w:sz w:val="22"/>
          <w:szCs w:val="22"/>
          <w:lang w:val="en-US" w:eastAsia="zh-TW"/>
        </w:rPr>
        <w:t>自己的配置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。這意味著從被動投資</w:t>
      </w:r>
      <w:r w:rsidR="00C344F4">
        <w:rPr>
          <w:rFonts w:ascii="Arial" w:eastAsia="微軟正黑體" w:hAnsi="Arial" w:cs="Arial" w:hint="eastAsia"/>
          <w:sz w:val="22"/>
          <w:szCs w:val="22"/>
          <w:lang w:val="en-US" w:eastAsia="zh-TW"/>
        </w:rPr>
        <w:t>，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轉向主動管理，以增加投資組合的多元化。考慮採取此類行動的</w:t>
      </w:r>
      <w:r w:rsidR="000C393C">
        <w:rPr>
          <w:rFonts w:ascii="Arial" w:eastAsia="微軟正黑體" w:hAnsi="Arial" w:cs="Arial" w:hint="eastAsia"/>
          <w:sz w:val="22"/>
          <w:szCs w:val="22"/>
          <w:lang w:val="en-US" w:eastAsia="zh-TW"/>
        </w:rPr>
        <w:t>投資人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應儘</w:t>
      </w:r>
      <w:r w:rsidR="00C344F4">
        <w:rPr>
          <w:rFonts w:ascii="Arial" w:eastAsia="微軟正黑體" w:hAnsi="Arial" w:cs="Arial" w:hint="eastAsia"/>
          <w:sz w:val="22"/>
          <w:szCs w:val="22"/>
          <w:lang w:val="en-US" w:eastAsia="zh-TW"/>
        </w:rPr>
        <w:t>快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行動</w:t>
      </w:r>
      <w:proofErr w:type="gramStart"/>
      <w:r w:rsidRPr="00E42DBA">
        <w:rPr>
          <w:rFonts w:ascii="Arial" w:eastAsia="微軟正黑體" w:hAnsi="Arial" w:cs="Arial"/>
          <w:sz w:val="22"/>
          <w:szCs w:val="22"/>
          <w:lang w:val="en-US" w:eastAsia="zh-TW"/>
        </w:rPr>
        <w:t>——</w:t>
      </w:r>
      <w:proofErr w:type="gramEnd"/>
      <w:r w:rsidR="00C344F4">
        <w:rPr>
          <w:rFonts w:ascii="Arial" w:eastAsia="微軟正黑體" w:hAnsi="Arial" w:cs="Arial" w:hint="eastAsia"/>
          <w:sz w:val="22"/>
          <w:szCs w:val="22"/>
          <w:lang w:val="en-US" w:eastAsia="zh-TW"/>
        </w:rPr>
        <w:t>因為同時間拋售</w:t>
      </w:r>
      <w:proofErr w:type="gramStart"/>
      <w:r w:rsidR="00C344F4">
        <w:rPr>
          <w:rFonts w:ascii="Arial" w:eastAsia="微軟正黑體" w:hAnsi="Arial" w:cs="Arial" w:hint="eastAsia"/>
          <w:sz w:val="22"/>
          <w:szCs w:val="22"/>
          <w:lang w:val="en-US" w:eastAsia="zh-TW"/>
        </w:rPr>
        <w:t>權重股可能會拖類整體</w:t>
      </w:r>
      <w:proofErr w:type="gramEnd"/>
      <w:r w:rsidR="00C344F4">
        <w:rPr>
          <w:rFonts w:ascii="Arial" w:eastAsia="微軟正黑體" w:hAnsi="Arial" w:cs="Arial" w:hint="eastAsia"/>
          <w:sz w:val="22"/>
          <w:szCs w:val="22"/>
          <w:lang w:val="en-US" w:eastAsia="zh-TW"/>
        </w:rPr>
        <w:t>股市的表現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。</w:t>
      </w:r>
    </w:p>
    <w:p w14:paraId="797F386F" w14:textId="0DC68B67" w:rsidR="006B68DA" w:rsidRDefault="00E42DBA" w:rsidP="00152616">
      <w:pPr>
        <w:rPr>
          <w:rFonts w:ascii="Arial" w:eastAsia="微軟正黑體" w:hAnsi="Arial" w:cs="Arial"/>
          <w:sz w:val="22"/>
          <w:szCs w:val="22"/>
          <w:lang w:val="en-US" w:eastAsia="zh-TW"/>
        </w:rPr>
      </w:pP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在我們看來，當前環境為主動管理提供了</w:t>
      </w:r>
      <w:r w:rsidR="00C344F4">
        <w:rPr>
          <w:rFonts w:ascii="Arial" w:eastAsia="微軟正黑體" w:hAnsi="Arial" w:cs="Arial" w:hint="eastAsia"/>
          <w:sz w:val="22"/>
          <w:szCs w:val="22"/>
          <w:lang w:val="en-US" w:eastAsia="zh-TW"/>
        </w:rPr>
        <w:t>很好的機會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。主動管理可</w:t>
      </w:r>
      <w:proofErr w:type="gramStart"/>
      <w:r w:rsidR="00C344F4">
        <w:rPr>
          <w:rFonts w:ascii="Arial" w:eastAsia="微軟正黑體" w:hAnsi="Arial" w:cs="Arial" w:hint="eastAsia"/>
          <w:sz w:val="22"/>
          <w:szCs w:val="22"/>
          <w:lang w:val="en-US" w:eastAsia="zh-TW"/>
        </w:rPr>
        <w:t>在投組中</w:t>
      </w:r>
      <w:proofErr w:type="gramEnd"/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增加更廣泛的資產類別</w:t>
      </w:r>
      <w:proofErr w:type="gramStart"/>
      <w:r w:rsidRPr="00E42DBA">
        <w:rPr>
          <w:rFonts w:ascii="Arial" w:eastAsia="微軟正黑體" w:hAnsi="Arial" w:cs="Arial"/>
          <w:sz w:val="22"/>
          <w:szCs w:val="22"/>
          <w:lang w:val="en-US" w:eastAsia="zh-TW"/>
        </w:rPr>
        <w:t>——</w:t>
      </w:r>
      <w:proofErr w:type="gramEnd"/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包括更廣泛的股票、固定收益、大宗商品和另類投資。目</w:t>
      </w:r>
      <w:r w:rsidR="00C344F4">
        <w:rPr>
          <w:rFonts w:ascii="Arial" w:eastAsia="微軟正黑體" w:hAnsi="Arial" w:cs="Arial" w:hint="eastAsia"/>
          <w:sz w:val="22"/>
          <w:szCs w:val="22"/>
          <w:lang w:val="en-US" w:eastAsia="zh-TW"/>
        </w:rPr>
        <w:t>的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是深化投資組合</w:t>
      </w:r>
      <w:r w:rsidR="00C344F4">
        <w:rPr>
          <w:rFonts w:ascii="Arial" w:eastAsia="微軟正黑體" w:hAnsi="Arial" w:cs="Arial" w:hint="eastAsia"/>
          <w:sz w:val="22"/>
          <w:szCs w:val="22"/>
          <w:lang w:val="en-US" w:eastAsia="zh-TW"/>
        </w:rPr>
        <w:t>的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多元化，並挑戰</w:t>
      </w:r>
      <w:r w:rsidR="00C344F4">
        <w:rPr>
          <w:rFonts w:ascii="Arial" w:eastAsia="微軟正黑體" w:hAnsi="Arial" w:cs="Arial" w:hint="eastAsia"/>
          <w:sz w:val="22"/>
          <w:szCs w:val="22"/>
          <w:lang w:val="en-US" w:eastAsia="zh-TW"/>
        </w:rPr>
        <w:t>「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僅投資美國大型股就</w:t>
      </w:r>
      <w:r w:rsidR="00C344F4">
        <w:rPr>
          <w:rFonts w:ascii="Arial" w:eastAsia="微軟正黑體" w:hAnsi="Arial" w:cs="Arial" w:hint="eastAsia"/>
          <w:sz w:val="22"/>
          <w:szCs w:val="22"/>
          <w:lang w:val="en-US" w:eastAsia="zh-TW"/>
        </w:rPr>
        <w:t>能獲得長期報酬」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的</w:t>
      </w:r>
      <w:r w:rsidR="00C344F4">
        <w:rPr>
          <w:rFonts w:ascii="Arial" w:eastAsia="微軟正黑體" w:hAnsi="Arial" w:cs="Arial" w:hint="eastAsia"/>
          <w:sz w:val="22"/>
          <w:szCs w:val="22"/>
          <w:lang w:val="en-US" w:eastAsia="zh-TW"/>
        </w:rPr>
        <w:t>迷思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。正如近期</w:t>
      </w:r>
      <w:r w:rsidR="00C344F4">
        <w:rPr>
          <w:rFonts w:ascii="Arial" w:eastAsia="微軟正黑體" w:hAnsi="Arial" w:cs="Arial" w:hint="eastAsia"/>
          <w:sz w:val="22"/>
          <w:szCs w:val="22"/>
          <w:lang w:val="en-US" w:eastAsia="zh-TW"/>
        </w:rPr>
        <w:t>市場波動所提醒的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，</w:t>
      </w:r>
      <w:r w:rsidR="000C393C">
        <w:rPr>
          <w:rFonts w:ascii="Arial" w:eastAsia="微軟正黑體" w:hAnsi="Arial" w:cs="Arial" w:hint="eastAsia"/>
          <w:sz w:val="22"/>
          <w:szCs w:val="22"/>
          <w:lang w:val="en-US" w:eastAsia="zh-TW"/>
        </w:rPr>
        <w:t>投資人</w:t>
      </w:r>
      <w:r w:rsidR="00C344F4">
        <w:rPr>
          <w:rFonts w:ascii="Arial" w:eastAsia="微軟正黑體" w:hAnsi="Arial" w:cs="Arial" w:hint="eastAsia"/>
          <w:sz w:val="22"/>
          <w:szCs w:val="22"/>
          <w:lang w:val="en-US" w:eastAsia="zh-TW"/>
        </w:rPr>
        <w:t>永遠需要為各種突發狀況作好準備</w:t>
      </w:r>
      <w:r w:rsidRPr="00E42DBA">
        <w:rPr>
          <w:rFonts w:ascii="Arial" w:eastAsia="微軟正黑體" w:hAnsi="Arial" w:cs="Arial" w:hint="eastAsia"/>
          <w:sz w:val="22"/>
          <w:szCs w:val="22"/>
          <w:lang w:val="en-US" w:eastAsia="zh-TW"/>
        </w:rPr>
        <w:t>。</w:t>
      </w:r>
    </w:p>
    <w:p w14:paraId="2EB11CFF" w14:textId="77777777" w:rsidR="008172BA" w:rsidRPr="0049309A" w:rsidRDefault="008172BA" w:rsidP="008172BA">
      <w:pPr>
        <w:rPr>
          <w:rFonts w:ascii="Arial" w:eastAsia="微軟正黑體" w:hAnsi="Arial" w:cs="Arial"/>
          <w:sz w:val="22"/>
          <w:szCs w:val="22"/>
          <w:lang w:val="en-US" w:eastAsia="zh-TW"/>
        </w:rPr>
      </w:pPr>
    </w:p>
    <w:p w14:paraId="5BB2362E" w14:textId="77777777" w:rsidR="008172BA" w:rsidRPr="0049309A" w:rsidRDefault="008172BA" w:rsidP="008172BA">
      <w:pPr>
        <w:rPr>
          <w:rFonts w:ascii="Arial" w:eastAsia="微軟正黑體" w:hAnsi="Arial" w:cs="Arial"/>
          <w:sz w:val="22"/>
          <w:szCs w:val="22"/>
          <w:lang w:val="en-US" w:eastAsia="zh-TW"/>
        </w:rPr>
      </w:pPr>
      <w:r>
        <w:rPr>
          <w:rFonts w:ascii="Arial" w:eastAsia="微軟正黑體" w:hAnsi="Arial" w:cs="Arial" w:hint="eastAsia"/>
          <w:sz w:val="22"/>
          <w:szCs w:val="22"/>
          <w:vertAlign w:val="superscript"/>
          <w:lang w:val="en-US" w:eastAsia="zh-TW"/>
        </w:rPr>
        <w:t xml:space="preserve">1  </w:t>
      </w:r>
      <w:r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截至</w:t>
      </w:r>
      <w:r w:rsidRPr="0049309A">
        <w:rPr>
          <w:rFonts w:ascii="Arial" w:eastAsia="微軟正黑體" w:hAnsi="Arial" w:cs="Arial"/>
          <w:sz w:val="22"/>
          <w:szCs w:val="22"/>
          <w:lang w:val="en-US" w:eastAsia="zh-TW"/>
        </w:rPr>
        <w:t xml:space="preserve"> 2025 </w:t>
      </w:r>
      <w:r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年</w:t>
      </w:r>
      <w:r w:rsidRPr="0049309A">
        <w:rPr>
          <w:rFonts w:ascii="Arial" w:eastAsia="微軟正黑體" w:hAnsi="Arial" w:cs="Arial"/>
          <w:sz w:val="22"/>
          <w:szCs w:val="22"/>
          <w:lang w:val="en-US" w:eastAsia="zh-TW"/>
        </w:rPr>
        <w:t xml:space="preserve"> 3 </w:t>
      </w:r>
      <w:r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月</w:t>
      </w:r>
      <w:r w:rsidRPr="0049309A">
        <w:rPr>
          <w:rFonts w:ascii="Arial" w:eastAsia="微軟正黑體" w:hAnsi="Arial" w:cs="Arial"/>
          <w:sz w:val="22"/>
          <w:szCs w:val="22"/>
          <w:lang w:val="en-US" w:eastAsia="zh-TW"/>
        </w:rPr>
        <w:t xml:space="preserve"> 27 </w:t>
      </w:r>
      <w:r w:rsidRPr="0049309A">
        <w:rPr>
          <w:rFonts w:ascii="Arial" w:eastAsia="微軟正黑體" w:hAnsi="Arial" w:cs="Arial" w:hint="eastAsia"/>
          <w:sz w:val="22"/>
          <w:szCs w:val="22"/>
          <w:lang w:val="en-US" w:eastAsia="zh-TW"/>
        </w:rPr>
        <w:t>日</w:t>
      </w:r>
    </w:p>
    <w:p w14:paraId="076E549F" w14:textId="77777777" w:rsidR="008172BA" w:rsidRDefault="008172BA" w:rsidP="00152616">
      <w:pPr>
        <w:rPr>
          <w:rFonts w:ascii="Arial" w:eastAsia="微軟正黑體" w:hAnsi="Arial" w:cs="Arial"/>
          <w:sz w:val="22"/>
          <w:szCs w:val="22"/>
          <w:lang w:val="en-US" w:eastAsia="zh-TW"/>
        </w:rPr>
      </w:pPr>
    </w:p>
    <w:p w14:paraId="14E87A51" w14:textId="77777777" w:rsidR="00E573D7" w:rsidRDefault="00E573D7" w:rsidP="00152616">
      <w:pPr>
        <w:rPr>
          <w:rFonts w:ascii="Arial" w:eastAsia="微軟正黑體" w:hAnsi="Arial" w:cs="Arial"/>
          <w:sz w:val="22"/>
          <w:szCs w:val="22"/>
          <w:lang w:val="en-US" w:eastAsia="zh-TW"/>
        </w:rPr>
      </w:pPr>
    </w:p>
    <w:p w14:paraId="38C072FE" w14:textId="77777777" w:rsidR="00E573D7" w:rsidRDefault="00E573D7" w:rsidP="00152616">
      <w:pPr>
        <w:rPr>
          <w:rFonts w:ascii="Arial" w:eastAsia="微軟正黑體" w:hAnsi="Arial" w:cs="Arial" w:hint="eastAsia"/>
          <w:sz w:val="22"/>
          <w:szCs w:val="22"/>
          <w:lang w:val="en-US" w:eastAsia="zh-TW"/>
        </w:rPr>
      </w:pPr>
    </w:p>
    <w:p w14:paraId="44260384" w14:textId="5E8020A9" w:rsidR="006D5F0F" w:rsidRDefault="006D5F0F" w:rsidP="00152616">
      <w:pPr>
        <w:rPr>
          <w:rFonts w:ascii="Arial" w:eastAsia="微軟正黑體" w:hAnsi="Arial" w:cs="Arial"/>
          <w:sz w:val="22"/>
          <w:szCs w:val="22"/>
          <w:lang w:val="en-US" w:eastAsia="zh-TW"/>
        </w:rPr>
      </w:pPr>
      <w:proofErr w:type="spellStart"/>
      <w:r>
        <w:rPr>
          <w:rFonts w:ascii="Arial" w:eastAsia="微軟正黑體" w:hAnsi="Arial" w:cs="Arial" w:hint="eastAsia"/>
          <w:sz w:val="22"/>
          <w:szCs w:val="22"/>
          <w:lang w:val="en-US" w:eastAsia="zh-TW"/>
        </w:rPr>
        <w:lastRenderedPageBreak/>
        <w:t>AdMaster</w:t>
      </w:r>
      <w:proofErr w:type="spellEnd"/>
      <w:r>
        <w:rPr>
          <w:rFonts w:ascii="Arial" w:eastAsia="微軟正黑體" w:hAnsi="Arial" w:cs="Arial" w:hint="eastAsia"/>
          <w:sz w:val="22"/>
          <w:szCs w:val="22"/>
          <w:lang w:val="en-US" w:eastAsia="zh-TW"/>
        </w:rPr>
        <w:t xml:space="preserve">: </w:t>
      </w:r>
      <w:r w:rsidR="008E3A5B">
        <w:rPr>
          <w:rFonts w:ascii="Arial" w:eastAsia="微軟正黑體" w:hAnsi="Arial" w:cs="Arial" w:hint="eastAsia"/>
          <w:sz w:val="22"/>
          <w:szCs w:val="22"/>
          <w:lang w:val="en-US" w:eastAsia="zh-TW"/>
        </w:rPr>
        <w:t>4467071</w:t>
      </w:r>
    </w:p>
    <w:p w14:paraId="4F620B5F" w14:textId="77777777" w:rsidR="008E3A5B" w:rsidRDefault="008E3A5B" w:rsidP="00152616">
      <w:pPr>
        <w:rPr>
          <w:rFonts w:ascii="Arial" w:eastAsia="微軟正黑體" w:hAnsi="Arial" w:cs="Arial"/>
          <w:sz w:val="22"/>
          <w:szCs w:val="22"/>
          <w:lang w:val="en-US" w:eastAsia="zh-TW"/>
        </w:rPr>
      </w:pPr>
    </w:p>
    <w:p w14:paraId="49F64102" w14:textId="77777777" w:rsidR="00155283" w:rsidRDefault="00155283" w:rsidP="00155283">
      <w:pPr>
        <w:tabs>
          <w:tab w:val="left" w:pos="1791"/>
        </w:tabs>
        <w:spacing w:line="240" w:lineRule="exact"/>
        <w:jc w:val="both"/>
        <w:rPr>
          <w:rFonts w:ascii="微軟正黑體" w:eastAsia="微軟正黑體" w:hAnsi="微軟正黑體"/>
          <w:b/>
          <w:sz w:val="15"/>
          <w:szCs w:val="15"/>
          <w:lang w:eastAsia="zh-TW"/>
        </w:rPr>
      </w:pPr>
      <w:r w:rsidRPr="009E68E1">
        <w:rPr>
          <w:rFonts w:ascii="微軟正黑體" w:eastAsia="微軟正黑體" w:hAnsi="微軟正黑體"/>
          <w:b/>
          <w:sz w:val="15"/>
          <w:szCs w:val="15"/>
          <w:lang w:eastAsia="zh-TW"/>
        </w:rPr>
        <w:t>【安聯投信　獨立經營管理】</w:t>
      </w:r>
      <w:r w:rsidRPr="00797A12">
        <w:rPr>
          <w:rFonts w:ascii="微軟正黑體" w:eastAsia="微軟正黑體" w:hAnsi="微軟正黑體" w:hint="eastAsia"/>
          <w:bCs/>
          <w:sz w:val="15"/>
          <w:szCs w:val="15"/>
          <w:lang w:eastAsia="zh-TW"/>
        </w:rPr>
        <w:t>110金管投信新字第013號</w:t>
      </w:r>
    </w:p>
    <w:p w14:paraId="0728CA2A" w14:textId="66959109" w:rsidR="00155283" w:rsidRDefault="00155283" w:rsidP="00155283">
      <w:pPr>
        <w:tabs>
          <w:tab w:val="left" w:pos="1791"/>
        </w:tabs>
        <w:spacing w:line="240" w:lineRule="exact"/>
        <w:jc w:val="both"/>
        <w:rPr>
          <w:rFonts w:ascii="微軟正黑體" w:eastAsia="微軟正黑體" w:hAnsi="微軟正黑體"/>
          <w:b/>
          <w:sz w:val="15"/>
          <w:szCs w:val="15"/>
          <w:lang w:eastAsia="zh-TW"/>
        </w:rPr>
      </w:pPr>
      <w:r w:rsidRPr="000930ED"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投資涉及風險。投資的價值和收益可能會上升也可能下降，投資者可能無法收回全部</w:t>
      </w:r>
      <w:r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投資本金</w:t>
      </w:r>
      <w:r w:rsidRPr="000930ED"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。過往表現</w:t>
      </w:r>
      <w:r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不代表</w:t>
      </w:r>
      <w:r w:rsidRPr="000930ED"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未來表現。</w:t>
      </w:r>
      <w:r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本文屬於行銷溝通，僅基於提供資訊為目的。本文不構成</w:t>
      </w:r>
      <w:r w:rsidRPr="000930ED"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購買</w:t>
      </w:r>
      <w:r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、</w:t>
      </w:r>
      <w:r w:rsidRPr="000930ED"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出售</w:t>
      </w:r>
      <w:r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或</w:t>
      </w:r>
      <w:r w:rsidRPr="000930ED"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持有任何</w:t>
      </w:r>
      <w:r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有價</w:t>
      </w:r>
      <w:r w:rsidRPr="000930ED"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證券的投資</w:t>
      </w:r>
      <w:r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意見</w:t>
      </w:r>
      <w:r w:rsidRPr="000930ED"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或</w:t>
      </w:r>
      <w:r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推薦</w:t>
      </w:r>
      <w:r w:rsidRPr="000930ED"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，也不應被視為出售要約或招攬購買任何</w:t>
      </w:r>
      <w:r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有價</w:t>
      </w:r>
      <w:r w:rsidRPr="000930ED"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證券</w:t>
      </w:r>
      <w:r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之</w:t>
      </w:r>
      <w:r w:rsidRPr="000930ED"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要約。</w:t>
      </w:r>
    </w:p>
    <w:p w14:paraId="42E057F8" w14:textId="77777777" w:rsidR="00155283" w:rsidRDefault="00155283" w:rsidP="00155283">
      <w:pPr>
        <w:tabs>
          <w:tab w:val="left" w:pos="1791"/>
        </w:tabs>
        <w:spacing w:line="240" w:lineRule="exact"/>
        <w:jc w:val="both"/>
        <w:rPr>
          <w:rFonts w:ascii="微軟正黑體" w:eastAsia="微軟正黑體" w:hAnsi="微軟正黑體"/>
          <w:b/>
          <w:sz w:val="15"/>
          <w:szCs w:val="15"/>
          <w:lang w:eastAsia="zh-TW"/>
        </w:rPr>
      </w:pPr>
      <w:r w:rsidRPr="000930ED"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本文中所表達的觀點和意見如有變更，恕</w:t>
      </w:r>
      <w:proofErr w:type="gramStart"/>
      <w:r w:rsidRPr="000930ED"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不</w:t>
      </w:r>
      <w:proofErr w:type="gramEnd"/>
      <w:r w:rsidRPr="000930ED"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另行通知，這些觀點和</w:t>
      </w:r>
      <w:r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意見</w:t>
      </w:r>
      <w:r w:rsidRPr="000930ED"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是</w:t>
      </w:r>
      <w:r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發行時本公司</w:t>
      </w:r>
      <w:r w:rsidRPr="000930ED"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或其</w:t>
      </w:r>
      <w:r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關係企業之</w:t>
      </w:r>
      <w:r w:rsidRPr="000930ED"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觀點和</w:t>
      </w:r>
      <w:r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意見</w:t>
      </w:r>
      <w:r w:rsidRPr="000930ED"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。</w:t>
      </w:r>
      <w:r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本文</w:t>
      </w:r>
      <w:r w:rsidRPr="000930ED"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所使用</w:t>
      </w:r>
      <w:r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之</w:t>
      </w:r>
      <w:r w:rsidRPr="000930ED"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數據來自各種被認</w:t>
      </w:r>
      <w:r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定</w:t>
      </w:r>
      <w:r w:rsidRPr="000930ED"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為可靠的來源，但</w:t>
      </w:r>
      <w:r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無法</w:t>
      </w:r>
      <w:r w:rsidRPr="000930ED"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保證</w:t>
      </w:r>
      <w:r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其正</w:t>
      </w:r>
      <w:r w:rsidRPr="000930ED"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確性或完整性，</w:t>
      </w:r>
      <w:r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本公司</w:t>
      </w:r>
      <w:r w:rsidRPr="000930ED"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對於因使用這些數據而引起的任何直接或間接損失不承擔任何責任。不論形式</w:t>
      </w:r>
      <w:r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為</w:t>
      </w:r>
      <w:r w:rsidRPr="000930ED"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何，複製，發布，提取或傳輸</w:t>
      </w:r>
      <w:r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本文</w:t>
      </w:r>
      <w:r w:rsidRPr="000930ED"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內容</w:t>
      </w:r>
      <w:r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都不被</w:t>
      </w:r>
      <w:r w:rsidRPr="000930ED"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允許。</w:t>
      </w:r>
    </w:p>
    <w:p w14:paraId="339B8D1A" w14:textId="77777777" w:rsidR="00155283" w:rsidRPr="00256D02" w:rsidRDefault="00155283" w:rsidP="00155283">
      <w:pPr>
        <w:tabs>
          <w:tab w:val="left" w:pos="1791"/>
        </w:tabs>
        <w:spacing w:line="240" w:lineRule="exact"/>
        <w:jc w:val="both"/>
        <w:rPr>
          <w:rFonts w:ascii="微軟正黑體" w:eastAsia="微軟正黑體" w:hAnsi="微軟正黑體"/>
          <w:b/>
          <w:sz w:val="15"/>
          <w:szCs w:val="15"/>
          <w:lang w:eastAsia="zh-TW"/>
        </w:rPr>
      </w:pPr>
      <w:r w:rsidRPr="00256D02">
        <w:rPr>
          <w:rFonts w:ascii="微軟正黑體" w:eastAsia="微軟正黑體" w:hAnsi="微軟正黑體" w:hint="eastAsia"/>
          <w:b/>
          <w:sz w:val="15"/>
          <w:szCs w:val="15"/>
          <w:lang w:eastAsia="zh-TW"/>
        </w:rPr>
        <w:t>本文所述之投資機會未考慮任何特定人士的特定投資目標、財務狀況、知識、經驗或特定需求，因此無法獲保證。投資人不能以本文取代其本身之判斷，且應完全為其投資及交易決定負責。</w:t>
      </w:r>
    </w:p>
    <w:p w14:paraId="6D57521E" w14:textId="77777777" w:rsidR="00155283" w:rsidRPr="00155283" w:rsidRDefault="00155283" w:rsidP="00152616">
      <w:pPr>
        <w:rPr>
          <w:rFonts w:ascii="Arial" w:eastAsia="微軟正黑體" w:hAnsi="Arial" w:cs="Arial" w:hint="eastAsia"/>
          <w:sz w:val="22"/>
          <w:szCs w:val="22"/>
          <w:lang w:eastAsia="zh-TW"/>
        </w:rPr>
      </w:pPr>
    </w:p>
    <w:sectPr w:rsidR="00155283" w:rsidRPr="00155283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742E8" w14:textId="77777777" w:rsidR="004D3A60" w:rsidRDefault="004D3A60" w:rsidP="004C1249">
      <w:pPr>
        <w:spacing w:after="0" w:line="240" w:lineRule="auto"/>
      </w:pPr>
      <w:r>
        <w:separator/>
      </w:r>
    </w:p>
  </w:endnote>
  <w:endnote w:type="continuationSeparator" w:id="0">
    <w:p w14:paraId="543800D6" w14:textId="77777777" w:rsidR="004D3A60" w:rsidRDefault="004D3A60" w:rsidP="004C1249">
      <w:pPr>
        <w:spacing w:after="0" w:line="240" w:lineRule="auto"/>
      </w:pPr>
      <w:r>
        <w:continuationSeparator/>
      </w:r>
    </w:p>
  </w:endnote>
  <w:endnote w:type="continuationNotice" w:id="1">
    <w:p w14:paraId="1EE9924F" w14:textId="77777777" w:rsidR="004D3A60" w:rsidRDefault="004D3A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1A105" w14:textId="3644C623" w:rsidR="004C1249" w:rsidRDefault="004C1249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7720642" wp14:editId="702640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24180" cy="359410"/>
              <wp:effectExtent l="0" t="0" r="13970" b="0"/>
              <wp:wrapNone/>
              <wp:docPr id="1885198085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18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0B91" w14:textId="634B6D26" w:rsidR="004C1249" w:rsidRPr="004C1249" w:rsidRDefault="004C1249" w:rsidP="004C124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124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206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3.4pt;height:28.3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HbHJbCgIAABUEAAAOAAAAZHJzL2Uyb0RvYy54bWysU01v2zAMvQ/YfxB0X2xn6dAacYqsRYYB QVsgHXpWZCk2IImCpMTOfv0oxU66tqdhF5kmKX689zS/7bUiB+F8C6aixSSnRBgOdWt2Ff31vPpy TYkPzNRMgREVPQpPbxefP807W4opNKBq4QgWMb7sbEWbEGyZZZ43QjM/ASsMBiU4zQL+ul1WO9Zh da2yaZ5/yzpwtXXAhffovT8F6SLVl1Lw8CilF4GoiuJsIZ0undt4Zos5K3eO2ablwxjsH6bQrDXY 9FzqngVG9q59V0q33IEHGSYcdAZStlykHXCbIn+zzaZhVqRdEBxvzzD5/1eWPxw29smR0H+HHgmM gHTWlx6dcZ9eOh2/OCnBOEJ4PMMm+kA4OmfTWXGNEY6hr1c3syLBml0uW+fDDwGaRKOiDllJYLHD 2gdsiKljSuxlYNUqlZhR5i8HJkZPdpkwWqHf9sPYW6iPuI2DE9He8lWLPdfMhyfmkFkcE9UaHvGQ CrqKwmBR0oD7/ZE/5iPgGKWkQ6VU1KCUKVE/DRIRRTUabjS2yShu8qsc42av7wD1V+BTsDyZ6HVB jaZ0oF9Qx8vYCEPMcGxX0e1o3oWTZPEdcLFcpiTUj2VhbTaWx9IRpwjic//CnB2QDkjRA4wyYuUb wE+58aa3y31A2BMbEdMTkAPUqL1E0vBOorhf/6esy2te/AEAAP//AwBQSwMEFAAGAAgAAAAhAMGJ 5dvZAAAAAwEAAA8AAABkcnMvZG93bnJldi54bWxMj8FqwkAQhu8F32EZobe6qeJS0mykCJ6UgtpL b+vumKTNzobsRuPbO+2lvQwM//DN9xer0bfign1sAml4nmUgkGxwDVUaPo6bpxcQMRlypg2EGm4Y YVVOHgqTu3ClPV4OqRIMoZgbDXVKXS5ltDV6E2ehQ+LsHHpvEq99JV1vrgz3rZxnmZLeNMQfatPh ukb7fRi8huU+7YZ3Oi4+x/nta9ut7eK8tVo/Tse3VxAJx/R3DD/6rA4lO53CQC6KVgMXSb+TM6W4 xYm5SoEsC/nfvbwDAAD//wMAUEsBAi0AFAAGAAgAAAAhALaDOJL+AAAA4QEAABMAAAAAAAAAAAAA AAAAAAAAAFtDb250ZW50X1R5cGVzXS54bWxQSwECLQAUAAYACAAAACEAOP0h/9YAAACUAQAACwAA AAAAAAAAAAAAAAAvAQAAX3JlbHMvLnJlbHNQSwECLQAUAAYACAAAACEAB2xyWwoCAAAVBAAADgAA AAAAAAAAAAAAAAAuAgAAZHJzL2Uyb0RvYy54bWxQSwECLQAUAAYACAAAACEAwYnl29kAAAADAQAA DwAAAAAAAAAAAAAAAABkBAAAZHJzL2Rvd25yZXYueG1sUEsFBgAAAAAEAAQA8wAAAGoFAAAAAA== " filled="f" stroked="f">
              <v:textbox style="mso-fit-shape-to-text:t" inset="0,0,0,15pt">
                <w:txbxContent>
                  <w:p w14:paraId="125F0B91" w14:textId="634B6D26" w:rsidR="004C1249" w:rsidRPr="004C1249" w:rsidRDefault="004C1249" w:rsidP="004C124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4C1249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2DDBD" w14:textId="336EA23B" w:rsidR="004C1249" w:rsidRDefault="004C1249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6527FF6" wp14:editId="2D14910F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24180" cy="359410"/>
              <wp:effectExtent l="0" t="0" r="13970" b="0"/>
              <wp:wrapNone/>
              <wp:docPr id="1038148642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18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47555B" w14:textId="62A22420" w:rsidR="004C1249" w:rsidRPr="004C1249" w:rsidRDefault="004C1249" w:rsidP="004C124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124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27F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3.4pt;height:28.3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MUNVFDQIAABwEAAAOAAAAZHJzL2Uyb0RvYy54bWysU01v2zAMvQ/YfxB0X2xn6dAacYqsRYYB QVsgHXpWZCk2IIsCpcTOfv0oJW66bqdhF5kmKX689zS/HTrDDgp9C7bixSTnTFkJdWt3Ff/xvPp0 zZkPwtbCgFUVPyrPbxcfP8x7V6opNGBqhYyKWF/2ruJNCK7MMi8b1Qk/AacsBTVgJwL94i6rUfRU vTPZNM+/ZD1g7RCk8p6896cgX6T6WisZHrX2KjBTcZotpBPTuY1ntpiLcofCNa08jyH+YYpOtJaa vpa6F0GwPbZ/lOpaieBBh4mELgOtW6nSDrRNkb/bZtMIp9IuBI53rzD5/1dWPhw27glZGL7CQARG QHrnS0/OuM+gsYtfmpRRnCA8vsKmhsAkOWfTWXFNEUmhz1c3syLBml0uO/Thm4KORaPiSKwksMRh 7QM1pNQxJfaysGqNScwY+5uDEqMnu0wYrTBsB9bWb6bfQn2kpRBOfHsnVy21XgsfngQSwTQtiTY8 0qEN9BWHs8VZA/jzb/6YT7hTlLOeBFNxS4rmzHy3xEfU1mjgaGyTUdzkVznF7b67A5JhQS/CyWSS F4MZTY3QvZCcl7ERhYSV1K7i29G8Cyfl0nOQarlMSSQjJ8LabpyMpSNcEcvn4UWgOwMeiKkHGNUk yne4n3LjTe+W+0DoJ1IitCcgz4iTBBNX5+cSNf72P2VdHvXiFwAAAP//AwBQSwMEFAAGAAgAAAAh AMGJ5dvZAAAAAwEAAA8AAABkcnMvZG93bnJldi54bWxMj8FqwkAQhu8F32EZobe6qeJS0mykCJ6U gtpLb+vumKTNzobsRuPbO+2lvQwM//DN9xer0bfign1sAml4nmUgkGxwDVUaPo6bpxcQMRlypg2E Gm4YYVVOHgqTu3ClPV4OqRIMoZgbDXVKXS5ltDV6E2ehQ+LsHHpvEq99JV1vrgz3rZxnmZLeNMQf atPhukb7fRi8huU+7YZ3Oi4+x/nta9ut7eK8tVo/Tse3VxAJx/R3DD/6rA4lO53CQC6KVgMXSb+T M6W4xYm5SoEsC/nfvbwDAAD//wMAUEsBAi0AFAAGAAgAAAAhALaDOJL+AAAA4QEAABMAAAAAAAAA AAAAAAAAAAAAAFtDb250ZW50X1R5cGVzXS54bWxQSwECLQAUAAYACAAAACEAOP0h/9YAAACUAQAA CwAAAAAAAAAAAAAAAAAvAQAAX3JlbHMvLnJlbHNQSwECLQAUAAYACAAAACEADFDVRQ0CAAAcBAAA DgAAAAAAAAAAAAAAAAAuAgAAZHJzL2Uyb0RvYy54bWxQSwECLQAUAAYACAAAACEAwYnl29kAAAAD AQAADwAAAAAAAAAAAAAAAABnBAAAZHJzL2Rvd25yZXYueG1sUEsFBgAAAAAEAAQA8wAAAG0FAAAA AA== " filled="f" stroked="f">
              <v:textbox style="mso-fit-shape-to-text:t" inset="0,0,0,15pt">
                <w:txbxContent>
                  <w:p w14:paraId="0347555B" w14:textId="62A22420" w:rsidR="004C1249" w:rsidRPr="004C1249" w:rsidRDefault="004C1249" w:rsidP="004C124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4C1249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DE6EC" w14:textId="62959E9D" w:rsidR="004C1249" w:rsidRDefault="004C1249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F2DF74" wp14:editId="525B4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24180" cy="359410"/>
              <wp:effectExtent l="0" t="0" r="13970" b="0"/>
              <wp:wrapNone/>
              <wp:docPr id="227203564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18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0E07B" w14:textId="7EA0BC9A" w:rsidR="004C1249" w:rsidRPr="004C1249" w:rsidRDefault="004C1249" w:rsidP="004C124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124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2DF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3.4pt;height:28.3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7kQIDDgIAABwEAAAOAAAAZHJzL2Uyb0RvYy54bWysU01v2zAMvQ/YfxB0X2xn6dAacYqsRYYB QVsgHXpWZCk2IIsCpcTOfv0oJW66bqdhF5kmKX689zS/HTrDDgp9C7bixSTnTFkJdWt3Ff/xvPp0 zZkPwtbCgFUVPyrPbxcfP8x7V6opNGBqhYyKWF/2ruJNCK7MMi8b1Qk/AacsBTVgJwL94i6rUfRU vTPZNM+/ZD1g7RCk8p6896cgX6T6WisZHrX2KjBTcZotpBPTuY1ntpiLcofCNa08jyH+YYpOtJaa vpa6F0GwPbZ/lOpaieBBh4mELgOtW6nSDrRNkb/bZtMIp9IuBI53rzD5/1dWPhw27glZGL7CQARG QHrnS0/OuM+gsYtfmpRRnCA8vsKmhsAkOWfTWXFNEUmhz1c3syLBml0uO/Thm4KORaPiSKwksMRh 7QM1pNQxJfaysGqNScwY+5uDEqMnu0wYrTBsB9bWFZ+O02+hPtJSCCe+vZOrllqvhQ9PAolgmpZE Gx7p0Ab6isPZ4qwB/Pk3f8wn3CnKWU+CqbglRXNmvlviI2prNHA0tskobvKrnOJ2390BybCgF+Fk MsmLwYymRuheSM7L2IhCwkpqV/HtaN6Fk3LpOUi1XKYkkpETYW03TsbSEa6I5fPwItCdAQ/E1AOM ahLlO9xPufGmd8t9IPQTKRHaE5BnxEmCiavzc4kaf/ufsi6PevELAAD//wMAUEsDBBQABgAIAAAA IQDBieXb2QAAAAMBAAAPAAAAZHJzL2Rvd25yZXYueG1sTI/BasJAEIbvBd9hGaG3uqniUtJspAie lILaS2/r7pikzc6G7Ebj2zvtpb0MDP/wzfcXq9G34oJ9bAJpeJ5lIJBscA1VGj6Om6cXEDEZcqYN hBpuGGFVTh4Kk7twpT1eDqkSDKGYGw11Sl0uZbQ1ehNnoUPi7Bx6bxKvfSVdb64M962cZ5mS3jTE H2rT4bpG+30YvIblPu2GdzouPsf57Wvbre3ivLVaP07Ht1cQCcf0dww/+qwOJTudwkAuilYDF0m/ kzOluMWJuUqBLAv53728AwAA//8DAFBLAQItABQABgAIAAAAIQC2gziS/gAAAOEBAAATAAAAAAAA AAAAAAAAAAAAAABbQ29udGVudF9UeXBlc10ueG1sUEsBAi0AFAAGAAgAAAAhADj9If/WAAAAlAEA AAsAAAAAAAAAAAAAAAAALwEAAF9yZWxzLy5yZWxzUEsBAi0AFAAGAAgAAAAhALuRAgMOAgAAHAQA AA4AAAAAAAAAAAAAAAAALgIAAGRycy9lMm9Eb2MueG1sUEsBAi0AFAAGAAgAAAAhAMGJ5dvZAAAA AwEAAA8AAAAAAAAAAAAAAAAAaAQAAGRycy9kb3ducmV2LnhtbFBLBQYAAAAABAAEAPMAAABuBQAA AAA= " filled="f" stroked="f">
              <v:textbox style="mso-fit-shape-to-text:t" inset="0,0,0,15pt">
                <w:txbxContent>
                  <w:p w14:paraId="4AB0E07B" w14:textId="7EA0BC9A" w:rsidR="004C1249" w:rsidRPr="004C1249" w:rsidRDefault="004C1249" w:rsidP="004C124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4C1249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F2A57" w14:textId="77777777" w:rsidR="004D3A60" w:rsidRDefault="004D3A60" w:rsidP="004C1249">
      <w:pPr>
        <w:spacing w:after="0" w:line="240" w:lineRule="auto"/>
      </w:pPr>
      <w:r>
        <w:separator/>
      </w:r>
    </w:p>
  </w:footnote>
  <w:footnote w:type="continuationSeparator" w:id="0">
    <w:p w14:paraId="52796AC4" w14:textId="77777777" w:rsidR="004D3A60" w:rsidRDefault="004D3A60" w:rsidP="004C1249">
      <w:pPr>
        <w:spacing w:after="0" w:line="240" w:lineRule="auto"/>
      </w:pPr>
      <w:r>
        <w:continuationSeparator/>
      </w:r>
    </w:p>
  </w:footnote>
  <w:footnote w:type="continuationNotice" w:id="1">
    <w:p w14:paraId="38014BB6" w14:textId="77777777" w:rsidR="004D3A60" w:rsidRDefault="004D3A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0DC4"/>
    <w:multiLevelType w:val="hybridMultilevel"/>
    <w:tmpl w:val="8D50D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03927"/>
    <w:multiLevelType w:val="hybridMultilevel"/>
    <w:tmpl w:val="823CB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6140E"/>
    <w:multiLevelType w:val="hybridMultilevel"/>
    <w:tmpl w:val="00226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74175"/>
    <w:multiLevelType w:val="hybridMultilevel"/>
    <w:tmpl w:val="8B9E94B0"/>
    <w:lvl w:ilvl="0" w:tplc="4B14A6DA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02DD0"/>
    <w:multiLevelType w:val="hybridMultilevel"/>
    <w:tmpl w:val="0ED08C36"/>
    <w:lvl w:ilvl="0" w:tplc="5D840A8C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306D7"/>
    <w:multiLevelType w:val="hybridMultilevel"/>
    <w:tmpl w:val="3D5A1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D2C45"/>
    <w:multiLevelType w:val="hybridMultilevel"/>
    <w:tmpl w:val="2766E6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53510"/>
    <w:multiLevelType w:val="hybridMultilevel"/>
    <w:tmpl w:val="C99E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B58E4"/>
    <w:multiLevelType w:val="hybridMultilevel"/>
    <w:tmpl w:val="C834070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15157"/>
    <w:multiLevelType w:val="hybridMultilevel"/>
    <w:tmpl w:val="5B04057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D43BD"/>
    <w:multiLevelType w:val="hybridMultilevel"/>
    <w:tmpl w:val="E5B63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EB6C39"/>
    <w:multiLevelType w:val="hybridMultilevel"/>
    <w:tmpl w:val="E500C0B6"/>
    <w:lvl w:ilvl="0" w:tplc="6292DC02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E67F1"/>
    <w:multiLevelType w:val="hybridMultilevel"/>
    <w:tmpl w:val="18002E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8091B"/>
    <w:multiLevelType w:val="hybridMultilevel"/>
    <w:tmpl w:val="F0DCC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B5F2C"/>
    <w:multiLevelType w:val="hybridMultilevel"/>
    <w:tmpl w:val="207A72B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668419">
    <w:abstractNumId w:val="12"/>
  </w:num>
  <w:num w:numId="2" w16cid:durableId="1551114543">
    <w:abstractNumId w:val="11"/>
  </w:num>
  <w:num w:numId="3" w16cid:durableId="1774401159">
    <w:abstractNumId w:val="3"/>
  </w:num>
  <w:num w:numId="4" w16cid:durableId="141823010">
    <w:abstractNumId w:val="4"/>
  </w:num>
  <w:num w:numId="5" w16cid:durableId="1877740676">
    <w:abstractNumId w:val="8"/>
  </w:num>
  <w:num w:numId="6" w16cid:durableId="1503542296">
    <w:abstractNumId w:val="2"/>
  </w:num>
  <w:num w:numId="7" w16cid:durableId="1004749149">
    <w:abstractNumId w:val="6"/>
  </w:num>
  <w:num w:numId="8" w16cid:durableId="1479374920">
    <w:abstractNumId w:val="9"/>
  </w:num>
  <w:num w:numId="9" w16cid:durableId="1558934555">
    <w:abstractNumId w:val="13"/>
  </w:num>
  <w:num w:numId="10" w16cid:durableId="2028556981">
    <w:abstractNumId w:val="14"/>
  </w:num>
  <w:num w:numId="11" w16cid:durableId="1084914224">
    <w:abstractNumId w:val="7"/>
  </w:num>
  <w:num w:numId="12" w16cid:durableId="1635671079">
    <w:abstractNumId w:val="0"/>
  </w:num>
  <w:num w:numId="13" w16cid:durableId="1590306254">
    <w:abstractNumId w:val="1"/>
  </w:num>
  <w:num w:numId="14" w16cid:durableId="380791095">
    <w:abstractNumId w:val="5"/>
  </w:num>
  <w:num w:numId="15" w16cid:durableId="432241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40"/>
    <w:rsid w:val="00000005"/>
    <w:rsid w:val="000011A2"/>
    <w:rsid w:val="000023A6"/>
    <w:rsid w:val="000025CA"/>
    <w:rsid w:val="00003B51"/>
    <w:rsid w:val="00003E43"/>
    <w:rsid w:val="00005778"/>
    <w:rsid w:val="00005954"/>
    <w:rsid w:val="00013A1F"/>
    <w:rsid w:val="000152A9"/>
    <w:rsid w:val="0001613F"/>
    <w:rsid w:val="00016743"/>
    <w:rsid w:val="0001759E"/>
    <w:rsid w:val="00020D69"/>
    <w:rsid w:val="0002105B"/>
    <w:rsid w:val="000211EB"/>
    <w:rsid w:val="00022276"/>
    <w:rsid w:val="00022356"/>
    <w:rsid w:val="00022897"/>
    <w:rsid w:val="000302AF"/>
    <w:rsid w:val="00033140"/>
    <w:rsid w:val="000338A7"/>
    <w:rsid w:val="00040B3A"/>
    <w:rsid w:val="00042018"/>
    <w:rsid w:val="00046EDA"/>
    <w:rsid w:val="0005165B"/>
    <w:rsid w:val="0005398A"/>
    <w:rsid w:val="00053E93"/>
    <w:rsid w:val="000541BA"/>
    <w:rsid w:val="00054E8A"/>
    <w:rsid w:val="00056EB7"/>
    <w:rsid w:val="00060EEA"/>
    <w:rsid w:val="00061399"/>
    <w:rsid w:val="00064B2B"/>
    <w:rsid w:val="00065084"/>
    <w:rsid w:val="00070310"/>
    <w:rsid w:val="000723AA"/>
    <w:rsid w:val="000727BE"/>
    <w:rsid w:val="00074579"/>
    <w:rsid w:val="00075B29"/>
    <w:rsid w:val="00082CCB"/>
    <w:rsid w:val="000866E8"/>
    <w:rsid w:val="00093794"/>
    <w:rsid w:val="00094716"/>
    <w:rsid w:val="00094B67"/>
    <w:rsid w:val="000975AD"/>
    <w:rsid w:val="000A0939"/>
    <w:rsid w:val="000B1471"/>
    <w:rsid w:val="000B3E25"/>
    <w:rsid w:val="000C393C"/>
    <w:rsid w:val="000D00B9"/>
    <w:rsid w:val="000D0FA9"/>
    <w:rsid w:val="000D10E7"/>
    <w:rsid w:val="000D40C5"/>
    <w:rsid w:val="000D7645"/>
    <w:rsid w:val="000E3DC9"/>
    <w:rsid w:val="000E4608"/>
    <w:rsid w:val="000E6EF7"/>
    <w:rsid w:val="000F12AD"/>
    <w:rsid w:val="000F2AD4"/>
    <w:rsid w:val="000F2BE0"/>
    <w:rsid w:val="000F412A"/>
    <w:rsid w:val="001006B0"/>
    <w:rsid w:val="00101D15"/>
    <w:rsid w:val="00106883"/>
    <w:rsid w:val="00114262"/>
    <w:rsid w:val="00116D5D"/>
    <w:rsid w:val="0012115A"/>
    <w:rsid w:val="0012316C"/>
    <w:rsid w:val="00126DE8"/>
    <w:rsid w:val="001344BF"/>
    <w:rsid w:val="0013763F"/>
    <w:rsid w:val="001404CC"/>
    <w:rsid w:val="001432B2"/>
    <w:rsid w:val="00145798"/>
    <w:rsid w:val="00152616"/>
    <w:rsid w:val="0015384B"/>
    <w:rsid w:val="00155283"/>
    <w:rsid w:val="00155C92"/>
    <w:rsid w:val="00160897"/>
    <w:rsid w:val="00162D80"/>
    <w:rsid w:val="00163834"/>
    <w:rsid w:val="00165A83"/>
    <w:rsid w:val="001712AF"/>
    <w:rsid w:val="00172683"/>
    <w:rsid w:val="00177161"/>
    <w:rsid w:val="00180D30"/>
    <w:rsid w:val="001813C6"/>
    <w:rsid w:val="00187122"/>
    <w:rsid w:val="001910B4"/>
    <w:rsid w:val="00197DF4"/>
    <w:rsid w:val="001A1EFA"/>
    <w:rsid w:val="001A2B76"/>
    <w:rsid w:val="001A335C"/>
    <w:rsid w:val="001A3693"/>
    <w:rsid w:val="001B61DC"/>
    <w:rsid w:val="001C3751"/>
    <w:rsid w:val="001C5243"/>
    <w:rsid w:val="001C76FB"/>
    <w:rsid w:val="001D189A"/>
    <w:rsid w:val="001E023B"/>
    <w:rsid w:val="001E7A40"/>
    <w:rsid w:val="001F0609"/>
    <w:rsid w:val="001F3138"/>
    <w:rsid w:val="001F3A8F"/>
    <w:rsid w:val="00202D2D"/>
    <w:rsid w:val="002050A3"/>
    <w:rsid w:val="00211AC8"/>
    <w:rsid w:val="0021396C"/>
    <w:rsid w:val="00215192"/>
    <w:rsid w:val="002207B0"/>
    <w:rsid w:val="002216F5"/>
    <w:rsid w:val="00224155"/>
    <w:rsid w:val="002253AE"/>
    <w:rsid w:val="00231D22"/>
    <w:rsid w:val="00232393"/>
    <w:rsid w:val="00242A62"/>
    <w:rsid w:val="002435D3"/>
    <w:rsid w:val="00243F71"/>
    <w:rsid w:val="00244EB1"/>
    <w:rsid w:val="00246755"/>
    <w:rsid w:val="00252C5D"/>
    <w:rsid w:val="00253777"/>
    <w:rsid w:val="00260760"/>
    <w:rsid w:val="00260EE0"/>
    <w:rsid w:val="00262FD6"/>
    <w:rsid w:val="00267AF5"/>
    <w:rsid w:val="00267D01"/>
    <w:rsid w:val="002719B7"/>
    <w:rsid w:val="002722A2"/>
    <w:rsid w:val="002726D2"/>
    <w:rsid w:val="00274FE2"/>
    <w:rsid w:val="00275356"/>
    <w:rsid w:val="002803FD"/>
    <w:rsid w:val="00283AF6"/>
    <w:rsid w:val="0028547D"/>
    <w:rsid w:val="00287E31"/>
    <w:rsid w:val="002941F8"/>
    <w:rsid w:val="002A127F"/>
    <w:rsid w:val="002A5EA9"/>
    <w:rsid w:val="002B0CBF"/>
    <w:rsid w:val="002B6D40"/>
    <w:rsid w:val="002B7248"/>
    <w:rsid w:val="002C7D31"/>
    <w:rsid w:val="002E0786"/>
    <w:rsid w:val="002E4E0B"/>
    <w:rsid w:val="002E548F"/>
    <w:rsid w:val="002E556F"/>
    <w:rsid w:val="002E7053"/>
    <w:rsid w:val="002F062E"/>
    <w:rsid w:val="002F31E8"/>
    <w:rsid w:val="002F5319"/>
    <w:rsid w:val="00300028"/>
    <w:rsid w:val="00302BF4"/>
    <w:rsid w:val="003061E8"/>
    <w:rsid w:val="00311F73"/>
    <w:rsid w:val="00313AF1"/>
    <w:rsid w:val="00315C8F"/>
    <w:rsid w:val="00320329"/>
    <w:rsid w:val="003205A9"/>
    <w:rsid w:val="0032323C"/>
    <w:rsid w:val="0032442F"/>
    <w:rsid w:val="0032472B"/>
    <w:rsid w:val="00327231"/>
    <w:rsid w:val="003349EA"/>
    <w:rsid w:val="0033532E"/>
    <w:rsid w:val="003437A7"/>
    <w:rsid w:val="00350E30"/>
    <w:rsid w:val="0035481F"/>
    <w:rsid w:val="00354EB5"/>
    <w:rsid w:val="00355869"/>
    <w:rsid w:val="00364850"/>
    <w:rsid w:val="003652CC"/>
    <w:rsid w:val="00372D2B"/>
    <w:rsid w:val="00376B63"/>
    <w:rsid w:val="00384C18"/>
    <w:rsid w:val="00391D37"/>
    <w:rsid w:val="00393B7B"/>
    <w:rsid w:val="00397C85"/>
    <w:rsid w:val="003A0221"/>
    <w:rsid w:val="003A04C6"/>
    <w:rsid w:val="003A0563"/>
    <w:rsid w:val="003A0764"/>
    <w:rsid w:val="003A30A3"/>
    <w:rsid w:val="003A59A6"/>
    <w:rsid w:val="003A5C14"/>
    <w:rsid w:val="003B00E4"/>
    <w:rsid w:val="003B3508"/>
    <w:rsid w:val="003C28FF"/>
    <w:rsid w:val="003C5376"/>
    <w:rsid w:val="003D0B0C"/>
    <w:rsid w:val="003E4279"/>
    <w:rsid w:val="003F24CF"/>
    <w:rsid w:val="003F3913"/>
    <w:rsid w:val="003F7793"/>
    <w:rsid w:val="004009E1"/>
    <w:rsid w:val="00403CC2"/>
    <w:rsid w:val="004113B5"/>
    <w:rsid w:val="00412652"/>
    <w:rsid w:val="004139AB"/>
    <w:rsid w:val="00414644"/>
    <w:rsid w:val="00416142"/>
    <w:rsid w:val="00416D11"/>
    <w:rsid w:val="0042157C"/>
    <w:rsid w:val="00422C06"/>
    <w:rsid w:val="0042507A"/>
    <w:rsid w:val="0043298D"/>
    <w:rsid w:val="004338C4"/>
    <w:rsid w:val="00435D82"/>
    <w:rsid w:val="0043648D"/>
    <w:rsid w:val="00441B52"/>
    <w:rsid w:val="004525C7"/>
    <w:rsid w:val="00452FF6"/>
    <w:rsid w:val="00454B9C"/>
    <w:rsid w:val="00462B36"/>
    <w:rsid w:val="00463A64"/>
    <w:rsid w:val="00473134"/>
    <w:rsid w:val="00474682"/>
    <w:rsid w:val="00480FBD"/>
    <w:rsid w:val="0048149B"/>
    <w:rsid w:val="0049079B"/>
    <w:rsid w:val="004913B1"/>
    <w:rsid w:val="00492D89"/>
    <w:rsid w:val="0049309A"/>
    <w:rsid w:val="0049476C"/>
    <w:rsid w:val="004A4742"/>
    <w:rsid w:val="004B0C92"/>
    <w:rsid w:val="004B1F58"/>
    <w:rsid w:val="004B2DCE"/>
    <w:rsid w:val="004B49B7"/>
    <w:rsid w:val="004B6A2F"/>
    <w:rsid w:val="004C1249"/>
    <w:rsid w:val="004C1B31"/>
    <w:rsid w:val="004D1D23"/>
    <w:rsid w:val="004D3A60"/>
    <w:rsid w:val="004D67B4"/>
    <w:rsid w:val="004E0104"/>
    <w:rsid w:val="004E3436"/>
    <w:rsid w:val="004E556B"/>
    <w:rsid w:val="004E58A2"/>
    <w:rsid w:val="004E73A3"/>
    <w:rsid w:val="004E7DBB"/>
    <w:rsid w:val="004F0AE2"/>
    <w:rsid w:val="004F1200"/>
    <w:rsid w:val="004F1263"/>
    <w:rsid w:val="004F16D1"/>
    <w:rsid w:val="004F2A1C"/>
    <w:rsid w:val="004F3787"/>
    <w:rsid w:val="0050012A"/>
    <w:rsid w:val="00503A5F"/>
    <w:rsid w:val="0050659A"/>
    <w:rsid w:val="005102A7"/>
    <w:rsid w:val="00512FC5"/>
    <w:rsid w:val="00513A04"/>
    <w:rsid w:val="005172FC"/>
    <w:rsid w:val="005229C0"/>
    <w:rsid w:val="00524215"/>
    <w:rsid w:val="005259A8"/>
    <w:rsid w:val="00526F18"/>
    <w:rsid w:val="00527091"/>
    <w:rsid w:val="00527B81"/>
    <w:rsid w:val="0053358F"/>
    <w:rsid w:val="00542A43"/>
    <w:rsid w:val="00542D08"/>
    <w:rsid w:val="005430CD"/>
    <w:rsid w:val="005438F6"/>
    <w:rsid w:val="0054435E"/>
    <w:rsid w:val="005444EE"/>
    <w:rsid w:val="00552A82"/>
    <w:rsid w:val="00554293"/>
    <w:rsid w:val="00554AA9"/>
    <w:rsid w:val="00565902"/>
    <w:rsid w:val="005662FA"/>
    <w:rsid w:val="00566799"/>
    <w:rsid w:val="00570991"/>
    <w:rsid w:val="00571470"/>
    <w:rsid w:val="00571A6B"/>
    <w:rsid w:val="0057350B"/>
    <w:rsid w:val="00585B59"/>
    <w:rsid w:val="00586E53"/>
    <w:rsid w:val="00591CCC"/>
    <w:rsid w:val="005943FF"/>
    <w:rsid w:val="00596200"/>
    <w:rsid w:val="005A12F3"/>
    <w:rsid w:val="005A2082"/>
    <w:rsid w:val="005A4499"/>
    <w:rsid w:val="005B5732"/>
    <w:rsid w:val="005B76D5"/>
    <w:rsid w:val="005C1F0C"/>
    <w:rsid w:val="005C24EF"/>
    <w:rsid w:val="005C296F"/>
    <w:rsid w:val="005C37C8"/>
    <w:rsid w:val="005C5A1C"/>
    <w:rsid w:val="005C6B2A"/>
    <w:rsid w:val="005C6EB6"/>
    <w:rsid w:val="005D1693"/>
    <w:rsid w:val="005D6FB0"/>
    <w:rsid w:val="005E449B"/>
    <w:rsid w:val="005E56CD"/>
    <w:rsid w:val="005E6698"/>
    <w:rsid w:val="005E7E27"/>
    <w:rsid w:val="005F0EF2"/>
    <w:rsid w:val="005F0FB7"/>
    <w:rsid w:val="005F161D"/>
    <w:rsid w:val="005F1E21"/>
    <w:rsid w:val="005F2332"/>
    <w:rsid w:val="005F34DF"/>
    <w:rsid w:val="005F404A"/>
    <w:rsid w:val="005F4755"/>
    <w:rsid w:val="005F684C"/>
    <w:rsid w:val="005F685D"/>
    <w:rsid w:val="005F7A5D"/>
    <w:rsid w:val="00600090"/>
    <w:rsid w:val="00602F33"/>
    <w:rsid w:val="0060511F"/>
    <w:rsid w:val="00606574"/>
    <w:rsid w:val="0061062E"/>
    <w:rsid w:val="00611272"/>
    <w:rsid w:val="00612577"/>
    <w:rsid w:val="00613CA4"/>
    <w:rsid w:val="0061651E"/>
    <w:rsid w:val="00620005"/>
    <w:rsid w:val="00625C59"/>
    <w:rsid w:val="00625EFA"/>
    <w:rsid w:val="00627D89"/>
    <w:rsid w:val="00631181"/>
    <w:rsid w:val="00632319"/>
    <w:rsid w:val="00633891"/>
    <w:rsid w:val="006359F1"/>
    <w:rsid w:val="00650EC8"/>
    <w:rsid w:val="00651015"/>
    <w:rsid w:val="00651DE2"/>
    <w:rsid w:val="00654F24"/>
    <w:rsid w:val="00660B49"/>
    <w:rsid w:val="00666B97"/>
    <w:rsid w:val="00670E7C"/>
    <w:rsid w:val="00671110"/>
    <w:rsid w:val="006746B8"/>
    <w:rsid w:val="006756B2"/>
    <w:rsid w:val="00682690"/>
    <w:rsid w:val="00685935"/>
    <w:rsid w:val="006A06F4"/>
    <w:rsid w:val="006A69C0"/>
    <w:rsid w:val="006B4726"/>
    <w:rsid w:val="006B521A"/>
    <w:rsid w:val="006B59C0"/>
    <w:rsid w:val="006B68DA"/>
    <w:rsid w:val="006B6AFF"/>
    <w:rsid w:val="006C3CD9"/>
    <w:rsid w:val="006D05E6"/>
    <w:rsid w:val="006D336E"/>
    <w:rsid w:val="006D3E93"/>
    <w:rsid w:val="006D5F0F"/>
    <w:rsid w:val="006D6C57"/>
    <w:rsid w:val="006E0822"/>
    <w:rsid w:val="006E3381"/>
    <w:rsid w:val="006E4CCC"/>
    <w:rsid w:val="006E54BF"/>
    <w:rsid w:val="006E6FF8"/>
    <w:rsid w:val="006F15C1"/>
    <w:rsid w:val="006F2059"/>
    <w:rsid w:val="006F3FF3"/>
    <w:rsid w:val="006F7457"/>
    <w:rsid w:val="007039A5"/>
    <w:rsid w:val="00706AEA"/>
    <w:rsid w:val="007113A1"/>
    <w:rsid w:val="0071168F"/>
    <w:rsid w:val="00716AB9"/>
    <w:rsid w:val="00720E6B"/>
    <w:rsid w:val="00721934"/>
    <w:rsid w:val="0072405E"/>
    <w:rsid w:val="00730D59"/>
    <w:rsid w:val="00735130"/>
    <w:rsid w:val="00736B97"/>
    <w:rsid w:val="00742062"/>
    <w:rsid w:val="00750CE8"/>
    <w:rsid w:val="00750ED3"/>
    <w:rsid w:val="0075206D"/>
    <w:rsid w:val="0075276D"/>
    <w:rsid w:val="007555B7"/>
    <w:rsid w:val="00756203"/>
    <w:rsid w:val="00760A66"/>
    <w:rsid w:val="00761127"/>
    <w:rsid w:val="00762134"/>
    <w:rsid w:val="00767720"/>
    <w:rsid w:val="00770853"/>
    <w:rsid w:val="007716FC"/>
    <w:rsid w:val="0077211C"/>
    <w:rsid w:val="007723EF"/>
    <w:rsid w:val="007723FE"/>
    <w:rsid w:val="0077310D"/>
    <w:rsid w:val="00776FA5"/>
    <w:rsid w:val="0077794D"/>
    <w:rsid w:val="00777D58"/>
    <w:rsid w:val="00781EFA"/>
    <w:rsid w:val="00785FC1"/>
    <w:rsid w:val="00786FDD"/>
    <w:rsid w:val="00790B77"/>
    <w:rsid w:val="00792D70"/>
    <w:rsid w:val="007962F4"/>
    <w:rsid w:val="007A0D36"/>
    <w:rsid w:val="007A1AD4"/>
    <w:rsid w:val="007A5089"/>
    <w:rsid w:val="007A67C7"/>
    <w:rsid w:val="007B48BB"/>
    <w:rsid w:val="007B7869"/>
    <w:rsid w:val="007C3627"/>
    <w:rsid w:val="007C4302"/>
    <w:rsid w:val="007C47D8"/>
    <w:rsid w:val="007D091E"/>
    <w:rsid w:val="007D160F"/>
    <w:rsid w:val="007D6F9C"/>
    <w:rsid w:val="007D6FD8"/>
    <w:rsid w:val="007E10CA"/>
    <w:rsid w:val="007F4ED1"/>
    <w:rsid w:val="007F520E"/>
    <w:rsid w:val="007F5A8B"/>
    <w:rsid w:val="008020D0"/>
    <w:rsid w:val="00803CDB"/>
    <w:rsid w:val="008041D4"/>
    <w:rsid w:val="00810ADF"/>
    <w:rsid w:val="00811562"/>
    <w:rsid w:val="00814347"/>
    <w:rsid w:val="008162F6"/>
    <w:rsid w:val="008172BA"/>
    <w:rsid w:val="00817735"/>
    <w:rsid w:val="00820C59"/>
    <w:rsid w:val="00821A08"/>
    <w:rsid w:val="0082221B"/>
    <w:rsid w:val="00823130"/>
    <w:rsid w:val="00825B3C"/>
    <w:rsid w:val="00834AC3"/>
    <w:rsid w:val="00837349"/>
    <w:rsid w:val="00851277"/>
    <w:rsid w:val="00864A84"/>
    <w:rsid w:val="00865E79"/>
    <w:rsid w:val="0086659F"/>
    <w:rsid w:val="00866D0E"/>
    <w:rsid w:val="00872165"/>
    <w:rsid w:val="00875A66"/>
    <w:rsid w:val="00887EEE"/>
    <w:rsid w:val="00895EE5"/>
    <w:rsid w:val="00897808"/>
    <w:rsid w:val="008A1FB2"/>
    <w:rsid w:val="008A26BE"/>
    <w:rsid w:val="008A3398"/>
    <w:rsid w:val="008A753F"/>
    <w:rsid w:val="008A7FF5"/>
    <w:rsid w:val="008C0BB4"/>
    <w:rsid w:val="008C20DC"/>
    <w:rsid w:val="008C26F3"/>
    <w:rsid w:val="008C27FA"/>
    <w:rsid w:val="008C581A"/>
    <w:rsid w:val="008C6BB9"/>
    <w:rsid w:val="008D0D82"/>
    <w:rsid w:val="008D4BA4"/>
    <w:rsid w:val="008D4EE8"/>
    <w:rsid w:val="008E0F2A"/>
    <w:rsid w:val="008E3A5B"/>
    <w:rsid w:val="008E5CF6"/>
    <w:rsid w:val="008E7712"/>
    <w:rsid w:val="008F0220"/>
    <w:rsid w:val="008F5BED"/>
    <w:rsid w:val="008F6AA7"/>
    <w:rsid w:val="009053B7"/>
    <w:rsid w:val="009130A9"/>
    <w:rsid w:val="009136E8"/>
    <w:rsid w:val="00913A05"/>
    <w:rsid w:val="00917F0F"/>
    <w:rsid w:val="00926D59"/>
    <w:rsid w:val="009349FB"/>
    <w:rsid w:val="00937EC3"/>
    <w:rsid w:val="00940DB4"/>
    <w:rsid w:val="009431D3"/>
    <w:rsid w:val="00957493"/>
    <w:rsid w:val="009574CB"/>
    <w:rsid w:val="00961ACA"/>
    <w:rsid w:val="00962A44"/>
    <w:rsid w:val="0096639C"/>
    <w:rsid w:val="00966879"/>
    <w:rsid w:val="00967DE3"/>
    <w:rsid w:val="00970C52"/>
    <w:rsid w:val="00972A55"/>
    <w:rsid w:val="00972D82"/>
    <w:rsid w:val="00974141"/>
    <w:rsid w:val="00975338"/>
    <w:rsid w:val="009779A0"/>
    <w:rsid w:val="009829F6"/>
    <w:rsid w:val="00985AC5"/>
    <w:rsid w:val="00985F1A"/>
    <w:rsid w:val="00990900"/>
    <w:rsid w:val="00990C6C"/>
    <w:rsid w:val="00990E32"/>
    <w:rsid w:val="009911BB"/>
    <w:rsid w:val="009936EF"/>
    <w:rsid w:val="00995C62"/>
    <w:rsid w:val="00997153"/>
    <w:rsid w:val="009A2F76"/>
    <w:rsid w:val="009B3F90"/>
    <w:rsid w:val="009B5126"/>
    <w:rsid w:val="009B546D"/>
    <w:rsid w:val="009B77D4"/>
    <w:rsid w:val="009C0EC2"/>
    <w:rsid w:val="009C16F8"/>
    <w:rsid w:val="009C181F"/>
    <w:rsid w:val="009C1D0F"/>
    <w:rsid w:val="009C351D"/>
    <w:rsid w:val="009C4BDF"/>
    <w:rsid w:val="009C5184"/>
    <w:rsid w:val="009D024A"/>
    <w:rsid w:val="009D100D"/>
    <w:rsid w:val="009D110C"/>
    <w:rsid w:val="009D3D65"/>
    <w:rsid w:val="009E23AD"/>
    <w:rsid w:val="009E3E8E"/>
    <w:rsid w:val="009E69DD"/>
    <w:rsid w:val="009F2EB8"/>
    <w:rsid w:val="009F333C"/>
    <w:rsid w:val="009F466A"/>
    <w:rsid w:val="00A067B1"/>
    <w:rsid w:val="00A06A73"/>
    <w:rsid w:val="00A0757D"/>
    <w:rsid w:val="00A1334F"/>
    <w:rsid w:val="00A14F19"/>
    <w:rsid w:val="00A318DD"/>
    <w:rsid w:val="00A3278C"/>
    <w:rsid w:val="00A369C3"/>
    <w:rsid w:val="00A4508C"/>
    <w:rsid w:val="00A46935"/>
    <w:rsid w:val="00A476F1"/>
    <w:rsid w:val="00A47F58"/>
    <w:rsid w:val="00A50CDA"/>
    <w:rsid w:val="00A53389"/>
    <w:rsid w:val="00A5482A"/>
    <w:rsid w:val="00A55898"/>
    <w:rsid w:val="00A620FC"/>
    <w:rsid w:val="00A62A4B"/>
    <w:rsid w:val="00A657AF"/>
    <w:rsid w:val="00A66E3A"/>
    <w:rsid w:val="00A75149"/>
    <w:rsid w:val="00A75B15"/>
    <w:rsid w:val="00A77F40"/>
    <w:rsid w:val="00A80062"/>
    <w:rsid w:val="00A813DE"/>
    <w:rsid w:val="00A81643"/>
    <w:rsid w:val="00A865E2"/>
    <w:rsid w:val="00A9029E"/>
    <w:rsid w:val="00A94312"/>
    <w:rsid w:val="00A94D1B"/>
    <w:rsid w:val="00A963EA"/>
    <w:rsid w:val="00AA6D56"/>
    <w:rsid w:val="00AB48BC"/>
    <w:rsid w:val="00AB5225"/>
    <w:rsid w:val="00AB6A67"/>
    <w:rsid w:val="00AC0062"/>
    <w:rsid w:val="00AD3AE4"/>
    <w:rsid w:val="00AD3CB8"/>
    <w:rsid w:val="00AE53CA"/>
    <w:rsid w:val="00AE6109"/>
    <w:rsid w:val="00AE7910"/>
    <w:rsid w:val="00AF2110"/>
    <w:rsid w:val="00AF21E6"/>
    <w:rsid w:val="00AF3410"/>
    <w:rsid w:val="00AF5D20"/>
    <w:rsid w:val="00AF7141"/>
    <w:rsid w:val="00AF71EF"/>
    <w:rsid w:val="00B012D8"/>
    <w:rsid w:val="00B03B2C"/>
    <w:rsid w:val="00B11B46"/>
    <w:rsid w:val="00B129D5"/>
    <w:rsid w:val="00B17339"/>
    <w:rsid w:val="00B216A3"/>
    <w:rsid w:val="00B21DE6"/>
    <w:rsid w:val="00B22749"/>
    <w:rsid w:val="00B23235"/>
    <w:rsid w:val="00B25F55"/>
    <w:rsid w:val="00B26003"/>
    <w:rsid w:val="00B267AF"/>
    <w:rsid w:val="00B332F5"/>
    <w:rsid w:val="00B40771"/>
    <w:rsid w:val="00B407CE"/>
    <w:rsid w:val="00B42203"/>
    <w:rsid w:val="00B44F09"/>
    <w:rsid w:val="00B45ACD"/>
    <w:rsid w:val="00B54B02"/>
    <w:rsid w:val="00B565AF"/>
    <w:rsid w:val="00B578B6"/>
    <w:rsid w:val="00B666C2"/>
    <w:rsid w:val="00B66F6F"/>
    <w:rsid w:val="00B717BE"/>
    <w:rsid w:val="00B723D7"/>
    <w:rsid w:val="00B76530"/>
    <w:rsid w:val="00B82737"/>
    <w:rsid w:val="00B8388C"/>
    <w:rsid w:val="00B83FD7"/>
    <w:rsid w:val="00B85871"/>
    <w:rsid w:val="00B913FF"/>
    <w:rsid w:val="00B93390"/>
    <w:rsid w:val="00B93E72"/>
    <w:rsid w:val="00BA36DB"/>
    <w:rsid w:val="00BA55B3"/>
    <w:rsid w:val="00BB2E3E"/>
    <w:rsid w:val="00BC09C3"/>
    <w:rsid w:val="00BC0B9D"/>
    <w:rsid w:val="00BC3304"/>
    <w:rsid w:val="00BC7EF5"/>
    <w:rsid w:val="00BD3347"/>
    <w:rsid w:val="00BD3B6D"/>
    <w:rsid w:val="00BD549F"/>
    <w:rsid w:val="00BD7059"/>
    <w:rsid w:val="00BE29A8"/>
    <w:rsid w:val="00BE51D6"/>
    <w:rsid w:val="00BE6399"/>
    <w:rsid w:val="00BF1E8E"/>
    <w:rsid w:val="00BF3B02"/>
    <w:rsid w:val="00BF7894"/>
    <w:rsid w:val="00C001D6"/>
    <w:rsid w:val="00C04610"/>
    <w:rsid w:val="00C078B3"/>
    <w:rsid w:val="00C07EC2"/>
    <w:rsid w:val="00C10F0E"/>
    <w:rsid w:val="00C129E0"/>
    <w:rsid w:val="00C154CB"/>
    <w:rsid w:val="00C16881"/>
    <w:rsid w:val="00C169CF"/>
    <w:rsid w:val="00C17468"/>
    <w:rsid w:val="00C21D84"/>
    <w:rsid w:val="00C22261"/>
    <w:rsid w:val="00C25BDC"/>
    <w:rsid w:val="00C32374"/>
    <w:rsid w:val="00C325BF"/>
    <w:rsid w:val="00C344F4"/>
    <w:rsid w:val="00C3510C"/>
    <w:rsid w:val="00C45A9D"/>
    <w:rsid w:val="00C53413"/>
    <w:rsid w:val="00C55BDC"/>
    <w:rsid w:val="00C57ADD"/>
    <w:rsid w:val="00C632DC"/>
    <w:rsid w:val="00C66795"/>
    <w:rsid w:val="00C709FE"/>
    <w:rsid w:val="00C73423"/>
    <w:rsid w:val="00C73558"/>
    <w:rsid w:val="00C86E2E"/>
    <w:rsid w:val="00C925B9"/>
    <w:rsid w:val="00CA4574"/>
    <w:rsid w:val="00CA4A08"/>
    <w:rsid w:val="00CC12EE"/>
    <w:rsid w:val="00CC2688"/>
    <w:rsid w:val="00CC2D0D"/>
    <w:rsid w:val="00CC3D0D"/>
    <w:rsid w:val="00CC3EC3"/>
    <w:rsid w:val="00CC4171"/>
    <w:rsid w:val="00CC5EBB"/>
    <w:rsid w:val="00CC7C70"/>
    <w:rsid w:val="00CD0A1B"/>
    <w:rsid w:val="00CD2B36"/>
    <w:rsid w:val="00CD30FC"/>
    <w:rsid w:val="00CD5E4C"/>
    <w:rsid w:val="00CE05AC"/>
    <w:rsid w:val="00CE1060"/>
    <w:rsid w:val="00CE145A"/>
    <w:rsid w:val="00CE2145"/>
    <w:rsid w:val="00CE2A75"/>
    <w:rsid w:val="00CE2E2E"/>
    <w:rsid w:val="00CE36D9"/>
    <w:rsid w:val="00CE4E36"/>
    <w:rsid w:val="00CE76D1"/>
    <w:rsid w:val="00CF7343"/>
    <w:rsid w:val="00D01648"/>
    <w:rsid w:val="00D03946"/>
    <w:rsid w:val="00D05989"/>
    <w:rsid w:val="00D05ABE"/>
    <w:rsid w:val="00D06F25"/>
    <w:rsid w:val="00D1533D"/>
    <w:rsid w:val="00D16220"/>
    <w:rsid w:val="00D234B3"/>
    <w:rsid w:val="00D264F5"/>
    <w:rsid w:val="00D3335F"/>
    <w:rsid w:val="00D33CE5"/>
    <w:rsid w:val="00D3575A"/>
    <w:rsid w:val="00D35AB3"/>
    <w:rsid w:val="00D41F6A"/>
    <w:rsid w:val="00D4323C"/>
    <w:rsid w:val="00D43B01"/>
    <w:rsid w:val="00D43BB9"/>
    <w:rsid w:val="00D4661A"/>
    <w:rsid w:val="00D46B39"/>
    <w:rsid w:val="00D521E6"/>
    <w:rsid w:val="00D56A5C"/>
    <w:rsid w:val="00D574A7"/>
    <w:rsid w:val="00D62FE0"/>
    <w:rsid w:val="00D73042"/>
    <w:rsid w:val="00D76CFB"/>
    <w:rsid w:val="00D76D45"/>
    <w:rsid w:val="00D8461B"/>
    <w:rsid w:val="00D92AF3"/>
    <w:rsid w:val="00D92D69"/>
    <w:rsid w:val="00D94C83"/>
    <w:rsid w:val="00D9736A"/>
    <w:rsid w:val="00D97FBC"/>
    <w:rsid w:val="00DA42DC"/>
    <w:rsid w:val="00DA5405"/>
    <w:rsid w:val="00DB2CB5"/>
    <w:rsid w:val="00DB69CD"/>
    <w:rsid w:val="00DC38E9"/>
    <w:rsid w:val="00DC74E7"/>
    <w:rsid w:val="00DD072C"/>
    <w:rsid w:val="00DD1942"/>
    <w:rsid w:val="00DD4B54"/>
    <w:rsid w:val="00DE5CAA"/>
    <w:rsid w:val="00DE5E12"/>
    <w:rsid w:val="00DF10A4"/>
    <w:rsid w:val="00DF2479"/>
    <w:rsid w:val="00DF3A7F"/>
    <w:rsid w:val="00DF532D"/>
    <w:rsid w:val="00DF7CE6"/>
    <w:rsid w:val="00E020CF"/>
    <w:rsid w:val="00E04BAF"/>
    <w:rsid w:val="00E06A8E"/>
    <w:rsid w:val="00E108B2"/>
    <w:rsid w:val="00E15039"/>
    <w:rsid w:val="00E15F63"/>
    <w:rsid w:val="00E20116"/>
    <w:rsid w:val="00E22445"/>
    <w:rsid w:val="00E229DF"/>
    <w:rsid w:val="00E237B3"/>
    <w:rsid w:val="00E2398B"/>
    <w:rsid w:val="00E23C36"/>
    <w:rsid w:val="00E25420"/>
    <w:rsid w:val="00E40660"/>
    <w:rsid w:val="00E40C51"/>
    <w:rsid w:val="00E428C7"/>
    <w:rsid w:val="00E42DBA"/>
    <w:rsid w:val="00E43610"/>
    <w:rsid w:val="00E4552E"/>
    <w:rsid w:val="00E52465"/>
    <w:rsid w:val="00E55DEF"/>
    <w:rsid w:val="00E573D7"/>
    <w:rsid w:val="00E57DE1"/>
    <w:rsid w:val="00E6099A"/>
    <w:rsid w:val="00E639AA"/>
    <w:rsid w:val="00E656D9"/>
    <w:rsid w:val="00E6794B"/>
    <w:rsid w:val="00E7023A"/>
    <w:rsid w:val="00E738AB"/>
    <w:rsid w:val="00E74534"/>
    <w:rsid w:val="00E75AE1"/>
    <w:rsid w:val="00E84132"/>
    <w:rsid w:val="00E84884"/>
    <w:rsid w:val="00E86CF5"/>
    <w:rsid w:val="00E87664"/>
    <w:rsid w:val="00E922D8"/>
    <w:rsid w:val="00E94918"/>
    <w:rsid w:val="00E94EB3"/>
    <w:rsid w:val="00E97F7D"/>
    <w:rsid w:val="00EA0838"/>
    <w:rsid w:val="00EA2BE5"/>
    <w:rsid w:val="00EA40B9"/>
    <w:rsid w:val="00EA6034"/>
    <w:rsid w:val="00EB0D5A"/>
    <w:rsid w:val="00EC0567"/>
    <w:rsid w:val="00EC3039"/>
    <w:rsid w:val="00EC4ADC"/>
    <w:rsid w:val="00ED1448"/>
    <w:rsid w:val="00EE0095"/>
    <w:rsid w:val="00EF0F8B"/>
    <w:rsid w:val="00EF1068"/>
    <w:rsid w:val="00EF1095"/>
    <w:rsid w:val="00EF2BDE"/>
    <w:rsid w:val="00EF2D74"/>
    <w:rsid w:val="00EF5493"/>
    <w:rsid w:val="00F003A7"/>
    <w:rsid w:val="00F037FA"/>
    <w:rsid w:val="00F04DF9"/>
    <w:rsid w:val="00F0512D"/>
    <w:rsid w:val="00F10864"/>
    <w:rsid w:val="00F1544B"/>
    <w:rsid w:val="00F2088F"/>
    <w:rsid w:val="00F22A76"/>
    <w:rsid w:val="00F27E1F"/>
    <w:rsid w:val="00F31051"/>
    <w:rsid w:val="00F33BC7"/>
    <w:rsid w:val="00F340E1"/>
    <w:rsid w:val="00F52D76"/>
    <w:rsid w:val="00F604E7"/>
    <w:rsid w:val="00F61348"/>
    <w:rsid w:val="00F766F6"/>
    <w:rsid w:val="00F809D0"/>
    <w:rsid w:val="00F81B5F"/>
    <w:rsid w:val="00F84D7A"/>
    <w:rsid w:val="00F85C42"/>
    <w:rsid w:val="00FA12B7"/>
    <w:rsid w:val="00FA3275"/>
    <w:rsid w:val="00FA38C9"/>
    <w:rsid w:val="00FA64D4"/>
    <w:rsid w:val="00FB169C"/>
    <w:rsid w:val="00FB2081"/>
    <w:rsid w:val="00FB2F7B"/>
    <w:rsid w:val="00FB3CA9"/>
    <w:rsid w:val="00FC2B86"/>
    <w:rsid w:val="00FD2E36"/>
    <w:rsid w:val="00FD3856"/>
    <w:rsid w:val="00FD7562"/>
    <w:rsid w:val="00FE3AC3"/>
    <w:rsid w:val="00FE69FF"/>
    <w:rsid w:val="00FE72B0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55749"/>
  <w15:chartTrackingRefBased/>
  <w15:docId w15:val="{2C9650AA-5D6B-437F-B5E6-FAA3A554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2F4"/>
  </w:style>
  <w:style w:type="paragraph" w:styleId="1">
    <w:name w:val="heading 1"/>
    <w:basedOn w:val="a"/>
    <w:next w:val="a"/>
    <w:link w:val="10"/>
    <w:uiPriority w:val="9"/>
    <w:qFormat/>
    <w:rsid w:val="002B6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B6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2B6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2B6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2B6D4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2B6D4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B6D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B6D4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B6D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B6D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6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B6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B6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B6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D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B6D4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B6D40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4C1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頁尾 字元"/>
    <w:basedOn w:val="a0"/>
    <w:link w:val="ae"/>
    <w:uiPriority w:val="99"/>
    <w:rsid w:val="004C1249"/>
  </w:style>
  <w:style w:type="paragraph" w:styleId="af0">
    <w:name w:val="header"/>
    <w:basedOn w:val="a"/>
    <w:link w:val="af1"/>
    <w:uiPriority w:val="99"/>
    <w:unhideWhenUsed/>
    <w:rsid w:val="00554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頁首 字元"/>
    <w:basedOn w:val="a0"/>
    <w:link w:val="af0"/>
    <w:uiPriority w:val="99"/>
    <w:rsid w:val="00554293"/>
  </w:style>
  <w:style w:type="paragraph" w:styleId="af2">
    <w:name w:val="Revision"/>
    <w:hidden/>
    <w:uiPriority w:val="99"/>
    <w:semiHidden/>
    <w:rsid w:val="002F5319"/>
    <w:pPr>
      <w:spacing w:after="0" w:line="240" w:lineRule="auto"/>
    </w:pPr>
  </w:style>
  <w:style w:type="character" w:styleId="af3">
    <w:name w:val="annotation reference"/>
    <w:basedOn w:val="a0"/>
    <w:uiPriority w:val="99"/>
    <w:semiHidden/>
    <w:unhideWhenUsed/>
    <w:rsid w:val="0002105B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02105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basedOn w:val="a0"/>
    <w:link w:val="af4"/>
    <w:uiPriority w:val="99"/>
    <w:rsid w:val="000210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2105B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02105B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B93390"/>
    <w:rPr>
      <w:color w:val="467886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B93390"/>
    <w:rPr>
      <w:color w:val="605E5C"/>
      <w:shd w:val="clear" w:color="auto" w:fill="E1DFDD"/>
    </w:rPr>
  </w:style>
  <w:style w:type="paragraph" w:styleId="afa">
    <w:name w:val="footnote text"/>
    <w:basedOn w:val="a"/>
    <w:link w:val="afb"/>
    <w:uiPriority w:val="99"/>
    <w:semiHidden/>
    <w:unhideWhenUsed/>
    <w:rsid w:val="00654F24"/>
    <w:pPr>
      <w:spacing w:after="0" w:line="240" w:lineRule="auto"/>
    </w:pPr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654F24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654F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charts/chart1.xml" Type="http://schemas.openxmlformats.org/officeDocument/2006/relationships/chart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charts/_rels/chart1.xml.rels><?xml version="1.0" encoding="UTF-8" standalone="yes"?><Relationships xmlns="http://schemas.openxmlformats.org/package/2006/relationships"><Relationship Id="rId1" Target="style1.xml" Type="http://schemas.microsoft.com/office/2011/relationships/chartStyle"/><Relationship Id="rId2" Target="colors1.xml" Type="http://schemas.microsoft.com/office/2011/relationships/chartColorStyle"/><Relationship Id="rId3" Target="https://allianzgi-my.sharepoint.com/personal/michael_stamos_allianzgi_com/Documents/Desktop/Chatter/concentration.xlsx" TargetMode="External" Type="http://schemas.openxmlformats.org/officeDocument/2006/relationships/oleObject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653762029746309E-2"/>
          <c:y val="3.7230629458120772E-2"/>
          <c:w val="0.83051727909011375"/>
          <c:h val="0.81844518868140648"/>
        </c:manualLayout>
      </c:layout>
      <c:scatterChart>
        <c:scatterStyle val="lineMarker"/>
        <c:varyColors val="0"/>
        <c:ser>
          <c:idx val="1"/>
          <c:order val="0"/>
          <c:tx>
            <c:strRef>
              <c:f>Worksheet!$I$1</c:f>
              <c:strCache>
                <c:ptCount val="1"/>
                <c:pt idx="0">
                  <c:v>Cap Weighted Index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3"/>
            <c:spPr>
              <a:solidFill>
                <a:schemeClr val="accent1">
                  <a:tint val="77000"/>
                </a:schemeClr>
              </a:solidFill>
              <a:ln w="9525">
                <a:solidFill>
                  <a:schemeClr val="accent1">
                    <a:tint val="77000"/>
                  </a:schemeClr>
                </a:solidFill>
              </a:ln>
              <a:effectLst/>
            </c:spPr>
          </c:marker>
          <c:xVal>
            <c:numRef>
              <c:f>Worksheet!$J$2:$J$502</c:f>
              <c:numCache>
                <c:formatCode>General</c:formatCode>
                <c:ptCount val="501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  <c:pt idx="301">
                  <c:v>301</c:v>
                </c:pt>
                <c:pt idx="302">
                  <c:v>302</c:v>
                </c:pt>
                <c:pt idx="303">
                  <c:v>303</c:v>
                </c:pt>
                <c:pt idx="304">
                  <c:v>304</c:v>
                </c:pt>
                <c:pt idx="305">
                  <c:v>305</c:v>
                </c:pt>
                <c:pt idx="306">
                  <c:v>306</c:v>
                </c:pt>
                <c:pt idx="307">
                  <c:v>307</c:v>
                </c:pt>
                <c:pt idx="308">
                  <c:v>308</c:v>
                </c:pt>
                <c:pt idx="309">
                  <c:v>309</c:v>
                </c:pt>
                <c:pt idx="310">
                  <c:v>310</c:v>
                </c:pt>
                <c:pt idx="311">
                  <c:v>311</c:v>
                </c:pt>
                <c:pt idx="312">
                  <c:v>312</c:v>
                </c:pt>
                <c:pt idx="313">
                  <c:v>313</c:v>
                </c:pt>
                <c:pt idx="314">
                  <c:v>314</c:v>
                </c:pt>
                <c:pt idx="315">
                  <c:v>315</c:v>
                </c:pt>
                <c:pt idx="316">
                  <c:v>316</c:v>
                </c:pt>
                <c:pt idx="317">
                  <c:v>317</c:v>
                </c:pt>
                <c:pt idx="318">
                  <c:v>318</c:v>
                </c:pt>
                <c:pt idx="319">
                  <c:v>319</c:v>
                </c:pt>
                <c:pt idx="320">
                  <c:v>320</c:v>
                </c:pt>
                <c:pt idx="321">
                  <c:v>321</c:v>
                </c:pt>
                <c:pt idx="322">
                  <c:v>322</c:v>
                </c:pt>
                <c:pt idx="323">
                  <c:v>323</c:v>
                </c:pt>
                <c:pt idx="324">
                  <c:v>324</c:v>
                </c:pt>
                <c:pt idx="325">
                  <c:v>325</c:v>
                </c:pt>
                <c:pt idx="326">
                  <c:v>326</c:v>
                </c:pt>
                <c:pt idx="327">
                  <c:v>327</c:v>
                </c:pt>
                <c:pt idx="328">
                  <c:v>328</c:v>
                </c:pt>
                <c:pt idx="329">
                  <c:v>329</c:v>
                </c:pt>
                <c:pt idx="330">
                  <c:v>330</c:v>
                </c:pt>
                <c:pt idx="331">
                  <c:v>331</c:v>
                </c:pt>
                <c:pt idx="332">
                  <c:v>332</c:v>
                </c:pt>
                <c:pt idx="333">
                  <c:v>333</c:v>
                </c:pt>
                <c:pt idx="334">
                  <c:v>334</c:v>
                </c:pt>
                <c:pt idx="335">
                  <c:v>335</c:v>
                </c:pt>
                <c:pt idx="336">
                  <c:v>336</c:v>
                </c:pt>
                <c:pt idx="337">
                  <c:v>337</c:v>
                </c:pt>
                <c:pt idx="338">
                  <c:v>338</c:v>
                </c:pt>
                <c:pt idx="339">
                  <c:v>339</c:v>
                </c:pt>
                <c:pt idx="340">
                  <c:v>340</c:v>
                </c:pt>
                <c:pt idx="341">
                  <c:v>341</c:v>
                </c:pt>
                <c:pt idx="342">
                  <c:v>342</c:v>
                </c:pt>
                <c:pt idx="343">
                  <c:v>343</c:v>
                </c:pt>
                <c:pt idx="344">
                  <c:v>344</c:v>
                </c:pt>
                <c:pt idx="345">
                  <c:v>345</c:v>
                </c:pt>
                <c:pt idx="346">
                  <c:v>346</c:v>
                </c:pt>
                <c:pt idx="347">
                  <c:v>347</c:v>
                </c:pt>
                <c:pt idx="348">
                  <c:v>348</c:v>
                </c:pt>
                <c:pt idx="349">
                  <c:v>349</c:v>
                </c:pt>
                <c:pt idx="350">
                  <c:v>350</c:v>
                </c:pt>
                <c:pt idx="351">
                  <c:v>351</c:v>
                </c:pt>
                <c:pt idx="352">
                  <c:v>352</c:v>
                </c:pt>
                <c:pt idx="353">
                  <c:v>353</c:v>
                </c:pt>
                <c:pt idx="354">
                  <c:v>354</c:v>
                </c:pt>
                <c:pt idx="355">
                  <c:v>355</c:v>
                </c:pt>
                <c:pt idx="356">
                  <c:v>356</c:v>
                </c:pt>
                <c:pt idx="357">
                  <c:v>357</c:v>
                </c:pt>
                <c:pt idx="358">
                  <c:v>358</c:v>
                </c:pt>
                <c:pt idx="359">
                  <c:v>359</c:v>
                </c:pt>
                <c:pt idx="360">
                  <c:v>360</c:v>
                </c:pt>
                <c:pt idx="361">
                  <c:v>361</c:v>
                </c:pt>
                <c:pt idx="362">
                  <c:v>362</c:v>
                </c:pt>
                <c:pt idx="363">
                  <c:v>363</c:v>
                </c:pt>
                <c:pt idx="364">
                  <c:v>364</c:v>
                </c:pt>
                <c:pt idx="365">
                  <c:v>365</c:v>
                </c:pt>
                <c:pt idx="366">
                  <c:v>366</c:v>
                </c:pt>
                <c:pt idx="367">
                  <c:v>367</c:v>
                </c:pt>
                <c:pt idx="368">
                  <c:v>368</c:v>
                </c:pt>
                <c:pt idx="369">
                  <c:v>369</c:v>
                </c:pt>
                <c:pt idx="370">
                  <c:v>370</c:v>
                </c:pt>
                <c:pt idx="371">
                  <c:v>371</c:v>
                </c:pt>
                <c:pt idx="372">
                  <c:v>372</c:v>
                </c:pt>
                <c:pt idx="373">
                  <c:v>373</c:v>
                </c:pt>
                <c:pt idx="374">
                  <c:v>374</c:v>
                </c:pt>
                <c:pt idx="375">
                  <c:v>375</c:v>
                </c:pt>
                <c:pt idx="376">
                  <c:v>376</c:v>
                </c:pt>
                <c:pt idx="377">
                  <c:v>377</c:v>
                </c:pt>
                <c:pt idx="378">
                  <c:v>378</c:v>
                </c:pt>
                <c:pt idx="379">
                  <c:v>379</c:v>
                </c:pt>
                <c:pt idx="380">
                  <c:v>380</c:v>
                </c:pt>
                <c:pt idx="381">
                  <c:v>381</c:v>
                </c:pt>
                <c:pt idx="382">
                  <c:v>382</c:v>
                </c:pt>
                <c:pt idx="383">
                  <c:v>383</c:v>
                </c:pt>
                <c:pt idx="384">
                  <c:v>384</c:v>
                </c:pt>
                <c:pt idx="385">
                  <c:v>385</c:v>
                </c:pt>
                <c:pt idx="386">
                  <c:v>386</c:v>
                </c:pt>
                <c:pt idx="387">
                  <c:v>387</c:v>
                </c:pt>
                <c:pt idx="388">
                  <c:v>388</c:v>
                </c:pt>
                <c:pt idx="389">
                  <c:v>389</c:v>
                </c:pt>
                <c:pt idx="390">
                  <c:v>390</c:v>
                </c:pt>
                <c:pt idx="391">
                  <c:v>391</c:v>
                </c:pt>
                <c:pt idx="392">
                  <c:v>392</c:v>
                </c:pt>
                <c:pt idx="393">
                  <c:v>393</c:v>
                </c:pt>
                <c:pt idx="394">
                  <c:v>394</c:v>
                </c:pt>
                <c:pt idx="395">
                  <c:v>395</c:v>
                </c:pt>
                <c:pt idx="396">
                  <c:v>396</c:v>
                </c:pt>
                <c:pt idx="397">
                  <c:v>397</c:v>
                </c:pt>
                <c:pt idx="398">
                  <c:v>398</c:v>
                </c:pt>
                <c:pt idx="399">
                  <c:v>399</c:v>
                </c:pt>
                <c:pt idx="400">
                  <c:v>400</c:v>
                </c:pt>
                <c:pt idx="401">
                  <c:v>401</c:v>
                </c:pt>
                <c:pt idx="402">
                  <c:v>402</c:v>
                </c:pt>
                <c:pt idx="403">
                  <c:v>403</c:v>
                </c:pt>
                <c:pt idx="404">
                  <c:v>404</c:v>
                </c:pt>
                <c:pt idx="405">
                  <c:v>405</c:v>
                </c:pt>
                <c:pt idx="406">
                  <c:v>406</c:v>
                </c:pt>
                <c:pt idx="407">
                  <c:v>407</c:v>
                </c:pt>
                <c:pt idx="408">
                  <c:v>408</c:v>
                </c:pt>
                <c:pt idx="409">
                  <c:v>409</c:v>
                </c:pt>
                <c:pt idx="410">
                  <c:v>410</c:v>
                </c:pt>
                <c:pt idx="411">
                  <c:v>411</c:v>
                </c:pt>
                <c:pt idx="412">
                  <c:v>412</c:v>
                </c:pt>
                <c:pt idx="413">
                  <c:v>413</c:v>
                </c:pt>
                <c:pt idx="414">
                  <c:v>414</c:v>
                </c:pt>
                <c:pt idx="415">
                  <c:v>415</c:v>
                </c:pt>
                <c:pt idx="416">
                  <c:v>416</c:v>
                </c:pt>
                <c:pt idx="417">
                  <c:v>417</c:v>
                </c:pt>
                <c:pt idx="418">
                  <c:v>418</c:v>
                </c:pt>
                <c:pt idx="419">
                  <c:v>419</c:v>
                </c:pt>
                <c:pt idx="420">
                  <c:v>420</c:v>
                </c:pt>
                <c:pt idx="421">
                  <c:v>421</c:v>
                </c:pt>
                <c:pt idx="422">
                  <c:v>422</c:v>
                </c:pt>
                <c:pt idx="423">
                  <c:v>423</c:v>
                </c:pt>
                <c:pt idx="424">
                  <c:v>424</c:v>
                </c:pt>
                <c:pt idx="425">
                  <c:v>425</c:v>
                </c:pt>
                <c:pt idx="426">
                  <c:v>426</c:v>
                </c:pt>
                <c:pt idx="427">
                  <c:v>427</c:v>
                </c:pt>
                <c:pt idx="428">
                  <c:v>428</c:v>
                </c:pt>
                <c:pt idx="429">
                  <c:v>429</c:v>
                </c:pt>
                <c:pt idx="430">
                  <c:v>430</c:v>
                </c:pt>
                <c:pt idx="431">
                  <c:v>431</c:v>
                </c:pt>
                <c:pt idx="432">
                  <c:v>432</c:v>
                </c:pt>
                <c:pt idx="433">
                  <c:v>433</c:v>
                </c:pt>
                <c:pt idx="434">
                  <c:v>434</c:v>
                </c:pt>
                <c:pt idx="435">
                  <c:v>435</c:v>
                </c:pt>
                <c:pt idx="436">
                  <c:v>436</c:v>
                </c:pt>
                <c:pt idx="437">
                  <c:v>437</c:v>
                </c:pt>
                <c:pt idx="438">
                  <c:v>438</c:v>
                </c:pt>
                <c:pt idx="439">
                  <c:v>439</c:v>
                </c:pt>
                <c:pt idx="440">
                  <c:v>440</c:v>
                </c:pt>
                <c:pt idx="441">
                  <c:v>441</c:v>
                </c:pt>
                <c:pt idx="442">
                  <c:v>442</c:v>
                </c:pt>
                <c:pt idx="443">
                  <c:v>443</c:v>
                </c:pt>
                <c:pt idx="444">
                  <c:v>444</c:v>
                </c:pt>
                <c:pt idx="445">
                  <c:v>445</c:v>
                </c:pt>
                <c:pt idx="446">
                  <c:v>446</c:v>
                </c:pt>
                <c:pt idx="447">
                  <c:v>447</c:v>
                </c:pt>
                <c:pt idx="448">
                  <c:v>448</c:v>
                </c:pt>
                <c:pt idx="449">
                  <c:v>449</c:v>
                </c:pt>
                <c:pt idx="450">
                  <c:v>450</c:v>
                </c:pt>
                <c:pt idx="451">
                  <c:v>451</c:v>
                </c:pt>
                <c:pt idx="452">
                  <c:v>452</c:v>
                </c:pt>
                <c:pt idx="453">
                  <c:v>453</c:v>
                </c:pt>
                <c:pt idx="454">
                  <c:v>454</c:v>
                </c:pt>
                <c:pt idx="455">
                  <c:v>455</c:v>
                </c:pt>
                <c:pt idx="456">
                  <c:v>456</c:v>
                </c:pt>
                <c:pt idx="457">
                  <c:v>457</c:v>
                </c:pt>
                <c:pt idx="458">
                  <c:v>458</c:v>
                </c:pt>
                <c:pt idx="459">
                  <c:v>459</c:v>
                </c:pt>
                <c:pt idx="460">
                  <c:v>460</c:v>
                </c:pt>
                <c:pt idx="461">
                  <c:v>461</c:v>
                </c:pt>
                <c:pt idx="462">
                  <c:v>462</c:v>
                </c:pt>
                <c:pt idx="463">
                  <c:v>463</c:v>
                </c:pt>
                <c:pt idx="464">
                  <c:v>464</c:v>
                </c:pt>
                <c:pt idx="465">
                  <c:v>465</c:v>
                </c:pt>
                <c:pt idx="466">
                  <c:v>466</c:v>
                </c:pt>
                <c:pt idx="467">
                  <c:v>467</c:v>
                </c:pt>
                <c:pt idx="468">
                  <c:v>468</c:v>
                </c:pt>
                <c:pt idx="469">
                  <c:v>469</c:v>
                </c:pt>
                <c:pt idx="470">
                  <c:v>470</c:v>
                </c:pt>
                <c:pt idx="471">
                  <c:v>471</c:v>
                </c:pt>
                <c:pt idx="472">
                  <c:v>472</c:v>
                </c:pt>
                <c:pt idx="473">
                  <c:v>473</c:v>
                </c:pt>
                <c:pt idx="474">
                  <c:v>474</c:v>
                </c:pt>
                <c:pt idx="475">
                  <c:v>475</c:v>
                </c:pt>
                <c:pt idx="476">
                  <c:v>476</c:v>
                </c:pt>
                <c:pt idx="477">
                  <c:v>477</c:v>
                </c:pt>
                <c:pt idx="478">
                  <c:v>478</c:v>
                </c:pt>
                <c:pt idx="479">
                  <c:v>479</c:v>
                </c:pt>
                <c:pt idx="480">
                  <c:v>480</c:v>
                </c:pt>
                <c:pt idx="481">
                  <c:v>481</c:v>
                </c:pt>
                <c:pt idx="482">
                  <c:v>482</c:v>
                </c:pt>
                <c:pt idx="483">
                  <c:v>483</c:v>
                </c:pt>
                <c:pt idx="484">
                  <c:v>484</c:v>
                </c:pt>
                <c:pt idx="485">
                  <c:v>485</c:v>
                </c:pt>
                <c:pt idx="486">
                  <c:v>486</c:v>
                </c:pt>
                <c:pt idx="487">
                  <c:v>487</c:v>
                </c:pt>
                <c:pt idx="488">
                  <c:v>488</c:v>
                </c:pt>
                <c:pt idx="489">
                  <c:v>489</c:v>
                </c:pt>
                <c:pt idx="490">
                  <c:v>490</c:v>
                </c:pt>
                <c:pt idx="491">
                  <c:v>491</c:v>
                </c:pt>
                <c:pt idx="492">
                  <c:v>492</c:v>
                </c:pt>
                <c:pt idx="493">
                  <c:v>493</c:v>
                </c:pt>
                <c:pt idx="494">
                  <c:v>494</c:v>
                </c:pt>
                <c:pt idx="495">
                  <c:v>495</c:v>
                </c:pt>
                <c:pt idx="496">
                  <c:v>496</c:v>
                </c:pt>
                <c:pt idx="497">
                  <c:v>497</c:v>
                </c:pt>
                <c:pt idx="498">
                  <c:v>498</c:v>
                </c:pt>
                <c:pt idx="499">
                  <c:v>499</c:v>
                </c:pt>
                <c:pt idx="500">
                  <c:v>500</c:v>
                </c:pt>
              </c:numCache>
            </c:numRef>
          </c:xVal>
          <c:yVal>
            <c:numRef>
              <c:f>Worksheet!$K$2:$K$502</c:f>
              <c:numCache>
                <c:formatCode>0</c:formatCode>
                <c:ptCount val="501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50</c:v>
                </c:pt>
                <c:pt idx="10">
                  <c:v>50</c:v>
                </c:pt>
                <c:pt idx="11">
                  <c:v>50</c:v>
                </c:pt>
                <c:pt idx="12">
                  <c:v>50</c:v>
                </c:pt>
                <c:pt idx="13">
                  <c:v>50</c:v>
                </c:pt>
                <c:pt idx="14">
                  <c:v>50</c:v>
                </c:pt>
                <c:pt idx="15">
                  <c:v>50</c:v>
                </c:pt>
                <c:pt idx="16">
                  <c:v>50</c:v>
                </c:pt>
                <c:pt idx="17">
                  <c:v>50</c:v>
                </c:pt>
                <c:pt idx="18">
                  <c:v>50</c:v>
                </c:pt>
                <c:pt idx="19">
                  <c:v>50</c:v>
                </c:pt>
                <c:pt idx="20">
                  <c:v>50</c:v>
                </c:pt>
                <c:pt idx="21">
                  <c:v>50</c:v>
                </c:pt>
                <c:pt idx="22">
                  <c:v>50</c:v>
                </c:pt>
                <c:pt idx="23">
                  <c:v>50</c:v>
                </c:pt>
                <c:pt idx="24">
                  <c:v>50</c:v>
                </c:pt>
                <c:pt idx="25">
                  <c:v>50</c:v>
                </c:pt>
                <c:pt idx="26">
                  <c:v>50</c:v>
                </c:pt>
                <c:pt idx="27">
                  <c:v>50</c:v>
                </c:pt>
                <c:pt idx="28">
                  <c:v>50</c:v>
                </c:pt>
                <c:pt idx="29">
                  <c:v>50</c:v>
                </c:pt>
                <c:pt idx="30">
                  <c:v>50</c:v>
                </c:pt>
                <c:pt idx="31">
                  <c:v>50</c:v>
                </c:pt>
                <c:pt idx="32">
                  <c:v>50</c:v>
                </c:pt>
                <c:pt idx="33">
                  <c:v>50</c:v>
                </c:pt>
                <c:pt idx="34">
                  <c:v>50</c:v>
                </c:pt>
                <c:pt idx="35">
                  <c:v>50</c:v>
                </c:pt>
                <c:pt idx="36">
                  <c:v>50</c:v>
                </c:pt>
                <c:pt idx="37">
                  <c:v>50</c:v>
                </c:pt>
                <c:pt idx="38">
                  <c:v>50</c:v>
                </c:pt>
                <c:pt idx="39">
                  <c:v>50</c:v>
                </c:pt>
                <c:pt idx="40">
                  <c:v>50</c:v>
                </c:pt>
                <c:pt idx="41">
                  <c:v>50</c:v>
                </c:pt>
                <c:pt idx="42">
                  <c:v>50</c:v>
                </c:pt>
                <c:pt idx="43">
                  <c:v>50</c:v>
                </c:pt>
                <c:pt idx="44">
                  <c:v>50</c:v>
                </c:pt>
                <c:pt idx="45">
                  <c:v>50</c:v>
                </c:pt>
                <c:pt idx="46">
                  <c:v>50</c:v>
                </c:pt>
                <c:pt idx="47">
                  <c:v>50</c:v>
                </c:pt>
                <c:pt idx="48">
                  <c:v>50</c:v>
                </c:pt>
                <c:pt idx="49">
                  <c:v>50</c:v>
                </c:pt>
                <c:pt idx="50">
                  <c:v>50</c:v>
                </c:pt>
                <c:pt idx="51">
                  <c:v>50</c:v>
                </c:pt>
                <c:pt idx="52">
                  <c:v>50</c:v>
                </c:pt>
                <c:pt idx="53">
                  <c:v>50</c:v>
                </c:pt>
                <c:pt idx="54">
                  <c:v>50</c:v>
                </c:pt>
                <c:pt idx="55">
                  <c:v>50</c:v>
                </c:pt>
                <c:pt idx="56">
                  <c:v>50</c:v>
                </c:pt>
                <c:pt idx="57">
                  <c:v>50</c:v>
                </c:pt>
                <c:pt idx="58">
                  <c:v>50</c:v>
                </c:pt>
                <c:pt idx="59">
                  <c:v>50</c:v>
                </c:pt>
                <c:pt idx="60">
                  <c:v>50</c:v>
                </c:pt>
                <c:pt idx="61">
                  <c:v>50</c:v>
                </c:pt>
                <c:pt idx="62">
                  <c:v>50</c:v>
                </c:pt>
                <c:pt idx="63">
                  <c:v>50</c:v>
                </c:pt>
                <c:pt idx="64">
                  <c:v>50</c:v>
                </c:pt>
                <c:pt idx="65">
                  <c:v>50</c:v>
                </c:pt>
                <c:pt idx="66">
                  <c:v>50</c:v>
                </c:pt>
                <c:pt idx="67">
                  <c:v>50</c:v>
                </c:pt>
                <c:pt idx="68">
                  <c:v>50</c:v>
                </c:pt>
                <c:pt idx="69">
                  <c:v>50</c:v>
                </c:pt>
                <c:pt idx="70">
                  <c:v>50</c:v>
                </c:pt>
                <c:pt idx="71">
                  <c:v>50</c:v>
                </c:pt>
                <c:pt idx="72">
                  <c:v>50</c:v>
                </c:pt>
                <c:pt idx="73">
                  <c:v>50</c:v>
                </c:pt>
                <c:pt idx="74">
                  <c:v>50</c:v>
                </c:pt>
                <c:pt idx="75">
                  <c:v>50</c:v>
                </c:pt>
                <c:pt idx="76">
                  <c:v>50</c:v>
                </c:pt>
                <c:pt idx="77">
                  <c:v>50</c:v>
                </c:pt>
                <c:pt idx="78">
                  <c:v>50</c:v>
                </c:pt>
                <c:pt idx="79">
                  <c:v>50</c:v>
                </c:pt>
                <c:pt idx="80">
                  <c:v>50</c:v>
                </c:pt>
                <c:pt idx="81">
                  <c:v>50</c:v>
                </c:pt>
                <c:pt idx="82">
                  <c:v>50</c:v>
                </c:pt>
                <c:pt idx="83">
                  <c:v>50</c:v>
                </c:pt>
                <c:pt idx="84">
                  <c:v>50</c:v>
                </c:pt>
                <c:pt idx="85">
                  <c:v>50</c:v>
                </c:pt>
                <c:pt idx="86">
                  <c:v>50</c:v>
                </c:pt>
                <c:pt idx="87">
                  <c:v>50</c:v>
                </c:pt>
                <c:pt idx="88">
                  <c:v>50</c:v>
                </c:pt>
                <c:pt idx="89">
                  <c:v>50</c:v>
                </c:pt>
                <c:pt idx="90">
                  <c:v>50</c:v>
                </c:pt>
                <c:pt idx="91">
                  <c:v>50</c:v>
                </c:pt>
                <c:pt idx="92">
                  <c:v>50</c:v>
                </c:pt>
                <c:pt idx="93">
                  <c:v>50</c:v>
                </c:pt>
                <c:pt idx="94">
                  <c:v>50</c:v>
                </c:pt>
                <c:pt idx="95">
                  <c:v>50</c:v>
                </c:pt>
                <c:pt idx="96">
                  <c:v>50</c:v>
                </c:pt>
                <c:pt idx="97">
                  <c:v>50</c:v>
                </c:pt>
                <c:pt idx="98">
                  <c:v>50</c:v>
                </c:pt>
                <c:pt idx="99">
                  <c:v>50</c:v>
                </c:pt>
                <c:pt idx="100">
                  <c:v>50</c:v>
                </c:pt>
                <c:pt idx="101">
                  <c:v>50</c:v>
                </c:pt>
                <c:pt idx="102">
                  <c:v>50</c:v>
                </c:pt>
                <c:pt idx="103">
                  <c:v>50</c:v>
                </c:pt>
                <c:pt idx="104">
                  <c:v>50</c:v>
                </c:pt>
                <c:pt idx="105">
                  <c:v>50</c:v>
                </c:pt>
                <c:pt idx="106">
                  <c:v>50</c:v>
                </c:pt>
                <c:pt idx="107">
                  <c:v>50</c:v>
                </c:pt>
                <c:pt idx="108">
                  <c:v>50</c:v>
                </c:pt>
                <c:pt idx="109">
                  <c:v>50</c:v>
                </c:pt>
                <c:pt idx="110">
                  <c:v>50</c:v>
                </c:pt>
                <c:pt idx="111">
                  <c:v>50</c:v>
                </c:pt>
                <c:pt idx="112">
                  <c:v>50</c:v>
                </c:pt>
                <c:pt idx="113">
                  <c:v>50</c:v>
                </c:pt>
                <c:pt idx="114">
                  <c:v>50</c:v>
                </c:pt>
                <c:pt idx="115">
                  <c:v>50</c:v>
                </c:pt>
                <c:pt idx="116">
                  <c:v>50</c:v>
                </c:pt>
                <c:pt idx="117">
                  <c:v>50</c:v>
                </c:pt>
                <c:pt idx="118">
                  <c:v>50</c:v>
                </c:pt>
                <c:pt idx="119">
                  <c:v>50</c:v>
                </c:pt>
                <c:pt idx="120">
                  <c:v>50</c:v>
                </c:pt>
                <c:pt idx="121">
                  <c:v>50</c:v>
                </c:pt>
                <c:pt idx="122">
                  <c:v>50</c:v>
                </c:pt>
                <c:pt idx="123">
                  <c:v>50</c:v>
                </c:pt>
                <c:pt idx="124">
                  <c:v>50</c:v>
                </c:pt>
                <c:pt idx="125">
                  <c:v>50</c:v>
                </c:pt>
                <c:pt idx="126">
                  <c:v>50</c:v>
                </c:pt>
                <c:pt idx="127">
                  <c:v>50</c:v>
                </c:pt>
                <c:pt idx="128">
                  <c:v>50</c:v>
                </c:pt>
                <c:pt idx="129">
                  <c:v>50</c:v>
                </c:pt>
                <c:pt idx="130">
                  <c:v>50</c:v>
                </c:pt>
                <c:pt idx="131">
                  <c:v>50</c:v>
                </c:pt>
                <c:pt idx="132">
                  <c:v>50</c:v>
                </c:pt>
                <c:pt idx="133">
                  <c:v>50</c:v>
                </c:pt>
                <c:pt idx="134">
                  <c:v>50</c:v>
                </c:pt>
                <c:pt idx="135">
                  <c:v>50</c:v>
                </c:pt>
                <c:pt idx="136">
                  <c:v>50</c:v>
                </c:pt>
                <c:pt idx="137">
                  <c:v>50</c:v>
                </c:pt>
                <c:pt idx="138">
                  <c:v>50</c:v>
                </c:pt>
                <c:pt idx="139">
                  <c:v>50</c:v>
                </c:pt>
                <c:pt idx="140">
                  <c:v>50</c:v>
                </c:pt>
                <c:pt idx="141">
                  <c:v>50</c:v>
                </c:pt>
                <c:pt idx="142">
                  <c:v>50</c:v>
                </c:pt>
                <c:pt idx="143">
                  <c:v>50</c:v>
                </c:pt>
                <c:pt idx="144">
                  <c:v>50</c:v>
                </c:pt>
                <c:pt idx="145">
                  <c:v>50</c:v>
                </c:pt>
                <c:pt idx="146">
                  <c:v>50</c:v>
                </c:pt>
                <c:pt idx="147">
                  <c:v>50</c:v>
                </c:pt>
                <c:pt idx="148">
                  <c:v>50</c:v>
                </c:pt>
                <c:pt idx="149">
                  <c:v>50</c:v>
                </c:pt>
                <c:pt idx="150">
                  <c:v>50</c:v>
                </c:pt>
                <c:pt idx="151">
                  <c:v>50</c:v>
                </c:pt>
                <c:pt idx="152">
                  <c:v>50</c:v>
                </c:pt>
                <c:pt idx="153">
                  <c:v>50</c:v>
                </c:pt>
                <c:pt idx="154">
                  <c:v>50</c:v>
                </c:pt>
                <c:pt idx="155">
                  <c:v>50</c:v>
                </c:pt>
                <c:pt idx="156">
                  <c:v>50</c:v>
                </c:pt>
                <c:pt idx="157">
                  <c:v>50</c:v>
                </c:pt>
                <c:pt idx="158">
                  <c:v>50</c:v>
                </c:pt>
                <c:pt idx="159">
                  <c:v>50</c:v>
                </c:pt>
                <c:pt idx="160">
                  <c:v>50</c:v>
                </c:pt>
                <c:pt idx="161">
                  <c:v>50</c:v>
                </c:pt>
                <c:pt idx="162">
                  <c:v>50</c:v>
                </c:pt>
                <c:pt idx="163">
                  <c:v>50</c:v>
                </c:pt>
                <c:pt idx="164">
                  <c:v>50</c:v>
                </c:pt>
                <c:pt idx="165">
                  <c:v>50</c:v>
                </c:pt>
                <c:pt idx="166">
                  <c:v>50</c:v>
                </c:pt>
                <c:pt idx="167">
                  <c:v>50</c:v>
                </c:pt>
                <c:pt idx="168">
                  <c:v>50</c:v>
                </c:pt>
                <c:pt idx="169">
                  <c:v>50</c:v>
                </c:pt>
                <c:pt idx="170">
                  <c:v>50</c:v>
                </c:pt>
                <c:pt idx="171">
                  <c:v>50</c:v>
                </c:pt>
                <c:pt idx="172">
                  <c:v>50</c:v>
                </c:pt>
                <c:pt idx="173">
                  <c:v>50</c:v>
                </c:pt>
                <c:pt idx="174">
                  <c:v>50</c:v>
                </c:pt>
                <c:pt idx="175">
                  <c:v>50</c:v>
                </c:pt>
                <c:pt idx="176">
                  <c:v>50</c:v>
                </c:pt>
                <c:pt idx="177">
                  <c:v>50</c:v>
                </c:pt>
                <c:pt idx="178">
                  <c:v>50</c:v>
                </c:pt>
                <c:pt idx="179">
                  <c:v>50</c:v>
                </c:pt>
                <c:pt idx="180">
                  <c:v>50</c:v>
                </c:pt>
                <c:pt idx="181">
                  <c:v>50</c:v>
                </c:pt>
                <c:pt idx="182">
                  <c:v>50</c:v>
                </c:pt>
                <c:pt idx="183">
                  <c:v>50</c:v>
                </c:pt>
                <c:pt idx="184">
                  <c:v>50</c:v>
                </c:pt>
                <c:pt idx="185">
                  <c:v>50</c:v>
                </c:pt>
                <c:pt idx="186">
                  <c:v>50</c:v>
                </c:pt>
                <c:pt idx="187">
                  <c:v>50</c:v>
                </c:pt>
                <c:pt idx="188">
                  <c:v>50</c:v>
                </c:pt>
                <c:pt idx="189">
                  <c:v>50</c:v>
                </c:pt>
                <c:pt idx="190">
                  <c:v>50</c:v>
                </c:pt>
                <c:pt idx="191">
                  <c:v>50</c:v>
                </c:pt>
                <c:pt idx="192">
                  <c:v>50</c:v>
                </c:pt>
                <c:pt idx="193">
                  <c:v>50</c:v>
                </c:pt>
                <c:pt idx="194">
                  <c:v>50</c:v>
                </c:pt>
                <c:pt idx="195">
                  <c:v>50</c:v>
                </c:pt>
                <c:pt idx="196">
                  <c:v>50</c:v>
                </c:pt>
                <c:pt idx="197">
                  <c:v>50</c:v>
                </c:pt>
                <c:pt idx="198">
                  <c:v>50</c:v>
                </c:pt>
                <c:pt idx="199">
                  <c:v>50</c:v>
                </c:pt>
                <c:pt idx="200">
                  <c:v>50</c:v>
                </c:pt>
                <c:pt idx="201">
                  <c:v>50</c:v>
                </c:pt>
                <c:pt idx="202">
                  <c:v>50</c:v>
                </c:pt>
                <c:pt idx="203">
                  <c:v>50</c:v>
                </c:pt>
                <c:pt idx="204">
                  <c:v>50</c:v>
                </c:pt>
                <c:pt idx="205">
                  <c:v>50</c:v>
                </c:pt>
                <c:pt idx="206">
                  <c:v>50</c:v>
                </c:pt>
                <c:pt idx="207">
                  <c:v>50</c:v>
                </c:pt>
                <c:pt idx="208">
                  <c:v>50</c:v>
                </c:pt>
                <c:pt idx="209">
                  <c:v>50</c:v>
                </c:pt>
                <c:pt idx="210">
                  <c:v>50</c:v>
                </c:pt>
                <c:pt idx="211">
                  <c:v>50</c:v>
                </c:pt>
                <c:pt idx="212">
                  <c:v>50</c:v>
                </c:pt>
                <c:pt idx="213">
                  <c:v>50</c:v>
                </c:pt>
                <c:pt idx="214">
                  <c:v>50</c:v>
                </c:pt>
                <c:pt idx="215">
                  <c:v>50</c:v>
                </c:pt>
                <c:pt idx="216">
                  <c:v>50</c:v>
                </c:pt>
                <c:pt idx="217">
                  <c:v>50</c:v>
                </c:pt>
                <c:pt idx="218">
                  <c:v>50</c:v>
                </c:pt>
                <c:pt idx="219">
                  <c:v>50</c:v>
                </c:pt>
                <c:pt idx="220">
                  <c:v>50</c:v>
                </c:pt>
                <c:pt idx="221">
                  <c:v>50</c:v>
                </c:pt>
                <c:pt idx="222">
                  <c:v>50</c:v>
                </c:pt>
                <c:pt idx="223">
                  <c:v>50</c:v>
                </c:pt>
                <c:pt idx="224">
                  <c:v>50</c:v>
                </c:pt>
                <c:pt idx="225">
                  <c:v>50</c:v>
                </c:pt>
                <c:pt idx="226">
                  <c:v>50</c:v>
                </c:pt>
                <c:pt idx="227">
                  <c:v>50</c:v>
                </c:pt>
                <c:pt idx="228">
                  <c:v>50</c:v>
                </c:pt>
                <c:pt idx="229">
                  <c:v>50</c:v>
                </c:pt>
                <c:pt idx="230">
                  <c:v>50</c:v>
                </c:pt>
                <c:pt idx="231">
                  <c:v>50</c:v>
                </c:pt>
                <c:pt idx="232">
                  <c:v>50</c:v>
                </c:pt>
                <c:pt idx="233">
                  <c:v>50</c:v>
                </c:pt>
                <c:pt idx="234">
                  <c:v>50</c:v>
                </c:pt>
                <c:pt idx="235">
                  <c:v>50</c:v>
                </c:pt>
                <c:pt idx="236">
                  <c:v>50</c:v>
                </c:pt>
                <c:pt idx="237">
                  <c:v>50</c:v>
                </c:pt>
                <c:pt idx="238">
                  <c:v>50</c:v>
                </c:pt>
                <c:pt idx="239">
                  <c:v>50</c:v>
                </c:pt>
                <c:pt idx="240">
                  <c:v>50</c:v>
                </c:pt>
                <c:pt idx="241">
                  <c:v>50</c:v>
                </c:pt>
                <c:pt idx="242">
                  <c:v>50</c:v>
                </c:pt>
                <c:pt idx="243">
                  <c:v>50</c:v>
                </c:pt>
                <c:pt idx="244">
                  <c:v>50</c:v>
                </c:pt>
                <c:pt idx="245">
                  <c:v>50</c:v>
                </c:pt>
                <c:pt idx="246">
                  <c:v>50</c:v>
                </c:pt>
                <c:pt idx="247">
                  <c:v>50</c:v>
                </c:pt>
                <c:pt idx="248">
                  <c:v>50</c:v>
                </c:pt>
                <c:pt idx="249">
                  <c:v>50</c:v>
                </c:pt>
                <c:pt idx="250">
                  <c:v>50</c:v>
                </c:pt>
                <c:pt idx="251">
                  <c:v>50</c:v>
                </c:pt>
                <c:pt idx="252">
                  <c:v>50</c:v>
                </c:pt>
                <c:pt idx="253">
                  <c:v>50</c:v>
                </c:pt>
                <c:pt idx="254">
                  <c:v>50</c:v>
                </c:pt>
                <c:pt idx="255">
                  <c:v>50</c:v>
                </c:pt>
                <c:pt idx="256">
                  <c:v>50</c:v>
                </c:pt>
                <c:pt idx="257">
                  <c:v>50</c:v>
                </c:pt>
                <c:pt idx="258">
                  <c:v>50</c:v>
                </c:pt>
                <c:pt idx="259">
                  <c:v>50</c:v>
                </c:pt>
                <c:pt idx="260">
                  <c:v>50</c:v>
                </c:pt>
                <c:pt idx="261">
                  <c:v>50</c:v>
                </c:pt>
                <c:pt idx="262">
                  <c:v>50</c:v>
                </c:pt>
                <c:pt idx="263">
                  <c:v>50</c:v>
                </c:pt>
                <c:pt idx="264">
                  <c:v>50</c:v>
                </c:pt>
                <c:pt idx="265">
                  <c:v>50</c:v>
                </c:pt>
                <c:pt idx="266">
                  <c:v>50</c:v>
                </c:pt>
                <c:pt idx="267">
                  <c:v>50</c:v>
                </c:pt>
                <c:pt idx="268">
                  <c:v>50</c:v>
                </c:pt>
                <c:pt idx="269">
                  <c:v>50</c:v>
                </c:pt>
                <c:pt idx="270">
                  <c:v>50</c:v>
                </c:pt>
                <c:pt idx="271">
                  <c:v>50</c:v>
                </c:pt>
                <c:pt idx="272">
                  <c:v>50</c:v>
                </c:pt>
                <c:pt idx="273">
                  <c:v>50</c:v>
                </c:pt>
                <c:pt idx="274">
                  <c:v>50</c:v>
                </c:pt>
                <c:pt idx="275">
                  <c:v>50</c:v>
                </c:pt>
                <c:pt idx="276">
                  <c:v>50</c:v>
                </c:pt>
                <c:pt idx="277">
                  <c:v>50</c:v>
                </c:pt>
                <c:pt idx="278">
                  <c:v>50</c:v>
                </c:pt>
                <c:pt idx="279">
                  <c:v>50</c:v>
                </c:pt>
                <c:pt idx="280">
                  <c:v>50</c:v>
                </c:pt>
                <c:pt idx="281">
                  <c:v>50</c:v>
                </c:pt>
                <c:pt idx="282">
                  <c:v>50</c:v>
                </c:pt>
                <c:pt idx="283">
                  <c:v>50</c:v>
                </c:pt>
                <c:pt idx="284">
                  <c:v>50</c:v>
                </c:pt>
                <c:pt idx="285">
                  <c:v>50</c:v>
                </c:pt>
                <c:pt idx="286">
                  <c:v>50</c:v>
                </c:pt>
                <c:pt idx="287">
                  <c:v>50</c:v>
                </c:pt>
                <c:pt idx="288">
                  <c:v>50</c:v>
                </c:pt>
                <c:pt idx="289">
                  <c:v>50</c:v>
                </c:pt>
                <c:pt idx="290">
                  <c:v>50</c:v>
                </c:pt>
                <c:pt idx="291">
                  <c:v>50</c:v>
                </c:pt>
                <c:pt idx="292">
                  <c:v>50</c:v>
                </c:pt>
                <c:pt idx="293">
                  <c:v>50</c:v>
                </c:pt>
                <c:pt idx="294">
                  <c:v>50</c:v>
                </c:pt>
                <c:pt idx="295">
                  <c:v>50</c:v>
                </c:pt>
                <c:pt idx="296">
                  <c:v>50</c:v>
                </c:pt>
                <c:pt idx="297">
                  <c:v>50</c:v>
                </c:pt>
                <c:pt idx="298">
                  <c:v>50</c:v>
                </c:pt>
                <c:pt idx="299">
                  <c:v>50</c:v>
                </c:pt>
                <c:pt idx="300">
                  <c:v>50</c:v>
                </c:pt>
                <c:pt idx="301">
                  <c:v>50</c:v>
                </c:pt>
                <c:pt idx="302">
                  <c:v>50</c:v>
                </c:pt>
                <c:pt idx="303">
                  <c:v>50</c:v>
                </c:pt>
                <c:pt idx="304">
                  <c:v>50</c:v>
                </c:pt>
                <c:pt idx="305">
                  <c:v>50</c:v>
                </c:pt>
                <c:pt idx="306">
                  <c:v>50</c:v>
                </c:pt>
                <c:pt idx="307">
                  <c:v>50</c:v>
                </c:pt>
                <c:pt idx="308">
                  <c:v>50</c:v>
                </c:pt>
                <c:pt idx="309">
                  <c:v>50</c:v>
                </c:pt>
                <c:pt idx="310">
                  <c:v>50</c:v>
                </c:pt>
                <c:pt idx="311">
                  <c:v>50</c:v>
                </c:pt>
                <c:pt idx="312">
                  <c:v>50</c:v>
                </c:pt>
                <c:pt idx="313">
                  <c:v>50</c:v>
                </c:pt>
                <c:pt idx="314">
                  <c:v>50</c:v>
                </c:pt>
                <c:pt idx="315">
                  <c:v>50</c:v>
                </c:pt>
                <c:pt idx="316">
                  <c:v>50</c:v>
                </c:pt>
                <c:pt idx="317">
                  <c:v>50</c:v>
                </c:pt>
                <c:pt idx="318">
                  <c:v>50</c:v>
                </c:pt>
                <c:pt idx="319">
                  <c:v>50</c:v>
                </c:pt>
                <c:pt idx="320">
                  <c:v>50</c:v>
                </c:pt>
                <c:pt idx="321">
                  <c:v>50</c:v>
                </c:pt>
                <c:pt idx="322">
                  <c:v>50</c:v>
                </c:pt>
                <c:pt idx="323">
                  <c:v>50</c:v>
                </c:pt>
                <c:pt idx="324">
                  <c:v>50</c:v>
                </c:pt>
                <c:pt idx="325">
                  <c:v>50</c:v>
                </c:pt>
                <c:pt idx="326">
                  <c:v>50</c:v>
                </c:pt>
                <c:pt idx="327">
                  <c:v>50</c:v>
                </c:pt>
                <c:pt idx="328">
                  <c:v>50</c:v>
                </c:pt>
                <c:pt idx="329">
                  <c:v>50</c:v>
                </c:pt>
                <c:pt idx="330">
                  <c:v>50</c:v>
                </c:pt>
                <c:pt idx="331">
                  <c:v>50</c:v>
                </c:pt>
                <c:pt idx="332">
                  <c:v>50</c:v>
                </c:pt>
                <c:pt idx="333">
                  <c:v>50</c:v>
                </c:pt>
                <c:pt idx="334">
                  <c:v>50</c:v>
                </c:pt>
                <c:pt idx="335">
                  <c:v>50</c:v>
                </c:pt>
                <c:pt idx="336">
                  <c:v>50</c:v>
                </c:pt>
                <c:pt idx="337">
                  <c:v>50</c:v>
                </c:pt>
                <c:pt idx="338">
                  <c:v>50</c:v>
                </c:pt>
                <c:pt idx="339">
                  <c:v>50</c:v>
                </c:pt>
                <c:pt idx="340">
                  <c:v>50</c:v>
                </c:pt>
                <c:pt idx="341">
                  <c:v>50</c:v>
                </c:pt>
                <c:pt idx="342">
                  <c:v>50</c:v>
                </c:pt>
                <c:pt idx="343">
                  <c:v>50</c:v>
                </c:pt>
                <c:pt idx="344">
                  <c:v>50</c:v>
                </c:pt>
                <c:pt idx="345">
                  <c:v>50</c:v>
                </c:pt>
                <c:pt idx="346">
                  <c:v>50</c:v>
                </c:pt>
                <c:pt idx="347">
                  <c:v>50</c:v>
                </c:pt>
                <c:pt idx="348">
                  <c:v>50</c:v>
                </c:pt>
                <c:pt idx="349">
                  <c:v>50</c:v>
                </c:pt>
                <c:pt idx="350">
                  <c:v>50</c:v>
                </c:pt>
                <c:pt idx="351">
                  <c:v>50</c:v>
                </c:pt>
                <c:pt idx="352">
                  <c:v>50</c:v>
                </c:pt>
                <c:pt idx="353">
                  <c:v>50</c:v>
                </c:pt>
                <c:pt idx="354">
                  <c:v>50</c:v>
                </c:pt>
                <c:pt idx="355">
                  <c:v>50</c:v>
                </c:pt>
                <c:pt idx="356">
                  <c:v>50</c:v>
                </c:pt>
                <c:pt idx="357">
                  <c:v>50</c:v>
                </c:pt>
                <c:pt idx="358">
                  <c:v>50</c:v>
                </c:pt>
                <c:pt idx="359">
                  <c:v>50</c:v>
                </c:pt>
                <c:pt idx="360">
                  <c:v>50</c:v>
                </c:pt>
                <c:pt idx="361">
                  <c:v>50</c:v>
                </c:pt>
                <c:pt idx="362">
                  <c:v>50</c:v>
                </c:pt>
                <c:pt idx="363">
                  <c:v>50</c:v>
                </c:pt>
                <c:pt idx="364">
                  <c:v>50</c:v>
                </c:pt>
                <c:pt idx="365">
                  <c:v>50</c:v>
                </c:pt>
                <c:pt idx="366">
                  <c:v>50</c:v>
                </c:pt>
                <c:pt idx="367">
                  <c:v>50</c:v>
                </c:pt>
                <c:pt idx="368">
                  <c:v>50</c:v>
                </c:pt>
                <c:pt idx="369">
                  <c:v>50</c:v>
                </c:pt>
                <c:pt idx="370">
                  <c:v>50</c:v>
                </c:pt>
                <c:pt idx="371">
                  <c:v>50</c:v>
                </c:pt>
                <c:pt idx="372">
                  <c:v>50</c:v>
                </c:pt>
                <c:pt idx="373">
                  <c:v>50</c:v>
                </c:pt>
                <c:pt idx="374">
                  <c:v>50</c:v>
                </c:pt>
                <c:pt idx="375">
                  <c:v>50</c:v>
                </c:pt>
                <c:pt idx="376">
                  <c:v>50</c:v>
                </c:pt>
                <c:pt idx="377">
                  <c:v>50</c:v>
                </c:pt>
                <c:pt idx="378">
                  <c:v>50</c:v>
                </c:pt>
                <c:pt idx="379">
                  <c:v>50</c:v>
                </c:pt>
                <c:pt idx="380">
                  <c:v>50</c:v>
                </c:pt>
                <c:pt idx="381">
                  <c:v>50</c:v>
                </c:pt>
                <c:pt idx="382">
                  <c:v>50</c:v>
                </c:pt>
                <c:pt idx="383">
                  <c:v>50</c:v>
                </c:pt>
                <c:pt idx="384">
                  <c:v>50</c:v>
                </c:pt>
                <c:pt idx="385">
                  <c:v>50</c:v>
                </c:pt>
                <c:pt idx="386">
                  <c:v>50</c:v>
                </c:pt>
                <c:pt idx="387">
                  <c:v>50</c:v>
                </c:pt>
                <c:pt idx="388">
                  <c:v>50</c:v>
                </c:pt>
                <c:pt idx="389">
                  <c:v>50</c:v>
                </c:pt>
                <c:pt idx="390">
                  <c:v>50</c:v>
                </c:pt>
                <c:pt idx="391">
                  <c:v>50</c:v>
                </c:pt>
                <c:pt idx="392">
                  <c:v>50</c:v>
                </c:pt>
                <c:pt idx="393">
                  <c:v>50</c:v>
                </c:pt>
                <c:pt idx="394">
                  <c:v>50</c:v>
                </c:pt>
                <c:pt idx="395">
                  <c:v>50</c:v>
                </c:pt>
                <c:pt idx="396">
                  <c:v>50</c:v>
                </c:pt>
                <c:pt idx="397">
                  <c:v>50</c:v>
                </c:pt>
                <c:pt idx="398">
                  <c:v>50</c:v>
                </c:pt>
                <c:pt idx="399">
                  <c:v>50</c:v>
                </c:pt>
                <c:pt idx="400">
                  <c:v>50</c:v>
                </c:pt>
                <c:pt idx="401">
                  <c:v>50</c:v>
                </c:pt>
                <c:pt idx="402">
                  <c:v>50</c:v>
                </c:pt>
                <c:pt idx="403">
                  <c:v>50</c:v>
                </c:pt>
                <c:pt idx="404">
                  <c:v>50</c:v>
                </c:pt>
                <c:pt idx="405">
                  <c:v>50</c:v>
                </c:pt>
                <c:pt idx="406">
                  <c:v>50</c:v>
                </c:pt>
                <c:pt idx="407">
                  <c:v>50</c:v>
                </c:pt>
                <c:pt idx="408">
                  <c:v>50</c:v>
                </c:pt>
                <c:pt idx="409">
                  <c:v>50</c:v>
                </c:pt>
                <c:pt idx="410">
                  <c:v>50</c:v>
                </c:pt>
                <c:pt idx="411">
                  <c:v>50</c:v>
                </c:pt>
                <c:pt idx="412">
                  <c:v>50</c:v>
                </c:pt>
                <c:pt idx="413">
                  <c:v>50</c:v>
                </c:pt>
                <c:pt idx="414">
                  <c:v>50</c:v>
                </c:pt>
                <c:pt idx="415">
                  <c:v>50</c:v>
                </c:pt>
                <c:pt idx="416">
                  <c:v>50</c:v>
                </c:pt>
                <c:pt idx="417">
                  <c:v>50</c:v>
                </c:pt>
                <c:pt idx="418">
                  <c:v>50</c:v>
                </c:pt>
                <c:pt idx="419">
                  <c:v>50</c:v>
                </c:pt>
                <c:pt idx="420">
                  <c:v>50</c:v>
                </c:pt>
                <c:pt idx="421">
                  <c:v>50</c:v>
                </c:pt>
                <c:pt idx="422">
                  <c:v>50</c:v>
                </c:pt>
                <c:pt idx="423">
                  <c:v>50</c:v>
                </c:pt>
                <c:pt idx="424">
                  <c:v>50</c:v>
                </c:pt>
                <c:pt idx="425">
                  <c:v>50</c:v>
                </c:pt>
                <c:pt idx="426">
                  <c:v>50</c:v>
                </c:pt>
                <c:pt idx="427">
                  <c:v>50</c:v>
                </c:pt>
                <c:pt idx="428">
                  <c:v>50</c:v>
                </c:pt>
                <c:pt idx="429">
                  <c:v>50</c:v>
                </c:pt>
                <c:pt idx="430">
                  <c:v>50</c:v>
                </c:pt>
                <c:pt idx="431">
                  <c:v>50</c:v>
                </c:pt>
                <c:pt idx="432">
                  <c:v>50</c:v>
                </c:pt>
                <c:pt idx="433">
                  <c:v>50</c:v>
                </c:pt>
                <c:pt idx="434">
                  <c:v>50</c:v>
                </c:pt>
                <c:pt idx="435">
                  <c:v>50</c:v>
                </c:pt>
                <c:pt idx="436">
                  <c:v>50</c:v>
                </c:pt>
                <c:pt idx="437">
                  <c:v>50</c:v>
                </c:pt>
                <c:pt idx="438">
                  <c:v>50</c:v>
                </c:pt>
                <c:pt idx="439">
                  <c:v>50</c:v>
                </c:pt>
                <c:pt idx="440">
                  <c:v>50</c:v>
                </c:pt>
                <c:pt idx="441">
                  <c:v>50</c:v>
                </c:pt>
                <c:pt idx="442">
                  <c:v>50</c:v>
                </c:pt>
                <c:pt idx="443">
                  <c:v>50</c:v>
                </c:pt>
                <c:pt idx="444">
                  <c:v>50</c:v>
                </c:pt>
                <c:pt idx="445">
                  <c:v>50</c:v>
                </c:pt>
                <c:pt idx="446">
                  <c:v>50</c:v>
                </c:pt>
                <c:pt idx="447">
                  <c:v>50</c:v>
                </c:pt>
                <c:pt idx="448">
                  <c:v>50</c:v>
                </c:pt>
                <c:pt idx="449">
                  <c:v>50</c:v>
                </c:pt>
                <c:pt idx="450">
                  <c:v>50</c:v>
                </c:pt>
                <c:pt idx="451">
                  <c:v>50</c:v>
                </c:pt>
                <c:pt idx="452">
                  <c:v>50</c:v>
                </c:pt>
                <c:pt idx="453">
                  <c:v>50</c:v>
                </c:pt>
                <c:pt idx="454">
                  <c:v>50</c:v>
                </c:pt>
                <c:pt idx="455">
                  <c:v>50</c:v>
                </c:pt>
                <c:pt idx="456">
                  <c:v>50</c:v>
                </c:pt>
                <c:pt idx="457">
                  <c:v>50</c:v>
                </c:pt>
                <c:pt idx="458">
                  <c:v>50</c:v>
                </c:pt>
                <c:pt idx="459">
                  <c:v>50</c:v>
                </c:pt>
                <c:pt idx="460">
                  <c:v>50</c:v>
                </c:pt>
                <c:pt idx="461">
                  <c:v>50</c:v>
                </c:pt>
                <c:pt idx="462">
                  <c:v>50</c:v>
                </c:pt>
                <c:pt idx="463">
                  <c:v>50</c:v>
                </c:pt>
                <c:pt idx="464">
                  <c:v>50</c:v>
                </c:pt>
                <c:pt idx="465">
                  <c:v>50</c:v>
                </c:pt>
                <c:pt idx="466">
                  <c:v>50</c:v>
                </c:pt>
                <c:pt idx="467">
                  <c:v>50</c:v>
                </c:pt>
                <c:pt idx="468">
                  <c:v>50</c:v>
                </c:pt>
                <c:pt idx="469">
                  <c:v>50</c:v>
                </c:pt>
                <c:pt idx="470">
                  <c:v>50</c:v>
                </c:pt>
                <c:pt idx="471">
                  <c:v>50</c:v>
                </c:pt>
                <c:pt idx="472">
                  <c:v>50</c:v>
                </c:pt>
                <c:pt idx="473">
                  <c:v>50</c:v>
                </c:pt>
                <c:pt idx="474">
                  <c:v>50</c:v>
                </c:pt>
                <c:pt idx="475">
                  <c:v>50</c:v>
                </c:pt>
                <c:pt idx="476">
                  <c:v>50</c:v>
                </c:pt>
                <c:pt idx="477">
                  <c:v>50</c:v>
                </c:pt>
                <c:pt idx="478">
                  <c:v>50</c:v>
                </c:pt>
                <c:pt idx="479">
                  <c:v>50</c:v>
                </c:pt>
                <c:pt idx="480">
                  <c:v>50</c:v>
                </c:pt>
                <c:pt idx="481">
                  <c:v>50</c:v>
                </c:pt>
                <c:pt idx="482">
                  <c:v>50</c:v>
                </c:pt>
                <c:pt idx="483">
                  <c:v>50</c:v>
                </c:pt>
                <c:pt idx="484">
                  <c:v>50</c:v>
                </c:pt>
                <c:pt idx="485">
                  <c:v>50</c:v>
                </c:pt>
                <c:pt idx="486">
                  <c:v>50</c:v>
                </c:pt>
                <c:pt idx="487">
                  <c:v>50</c:v>
                </c:pt>
                <c:pt idx="488">
                  <c:v>50</c:v>
                </c:pt>
                <c:pt idx="489">
                  <c:v>50</c:v>
                </c:pt>
                <c:pt idx="490">
                  <c:v>50</c:v>
                </c:pt>
                <c:pt idx="491">
                  <c:v>50</c:v>
                </c:pt>
                <c:pt idx="492">
                  <c:v>50</c:v>
                </c:pt>
                <c:pt idx="493">
                  <c:v>50</c:v>
                </c:pt>
                <c:pt idx="494">
                  <c:v>50</c:v>
                </c:pt>
                <c:pt idx="495">
                  <c:v>50</c:v>
                </c:pt>
                <c:pt idx="496">
                  <c:v>50</c:v>
                </c:pt>
                <c:pt idx="497">
                  <c:v>50</c:v>
                </c:pt>
                <c:pt idx="498">
                  <c:v>50</c:v>
                </c:pt>
                <c:pt idx="499">
                  <c:v>50</c:v>
                </c:pt>
                <c:pt idx="500">
                  <c:v>50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D25-4A7C-B52C-B20959790687}"/>
            </c:ext>
          </c:extLst>
        </c:ser>
        <c:ser>
          <c:idx val="0"/>
          <c:order val="1"/>
          <c:tx>
            <c:strRef>
              <c:f>Worksheet!$H$1</c:f>
              <c:strCache>
                <c:ptCount val="1"/>
                <c:pt idx="0">
                  <c:v>Equal Weighted Index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3"/>
            <c:spPr>
              <a:solidFill>
                <a:schemeClr val="accent1">
                  <a:shade val="76000"/>
                </a:schemeClr>
              </a:solidFill>
              <a:ln w="9525">
                <a:solidFill>
                  <a:schemeClr val="accent1">
                    <a:shade val="76000"/>
                  </a:schemeClr>
                </a:solidFill>
              </a:ln>
              <a:effectLst/>
            </c:spPr>
          </c:marker>
          <c:xVal>
            <c:numRef>
              <c:f>Worksheet!$J$2:$J$502</c:f>
              <c:numCache>
                <c:formatCode>General</c:formatCode>
                <c:ptCount val="501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  <c:pt idx="301">
                  <c:v>301</c:v>
                </c:pt>
                <c:pt idx="302">
                  <c:v>302</c:v>
                </c:pt>
                <c:pt idx="303">
                  <c:v>303</c:v>
                </c:pt>
                <c:pt idx="304">
                  <c:v>304</c:v>
                </c:pt>
                <c:pt idx="305">
                  <c:v>305</c:v>
                </c:pt>
                <c:pt idx="306">
                  <c:v>306</c:v>
                </c:pt>
                <c:pt idx="307">
                  <c:v>307</c:v>
                </c:pt>
                <c:pt idx="308">
                  <c:v>308</c:v>
                </c:pt>
                <c:pt idx="309">
                  <c:v>309</c:v>
                </c:pt>
                <c:pt idx="310">
                  <c:v>310</c:v>
                </c:pt>
                <c:pt idx="311">
                  <c:v>311</c:v>
                </c:pt>
                <c:pt idx="312">
                  <c:v>312</c:v>
                </c:pt>
                <c:pt idx="313">
                  <c:v>313</c:v>
                </c:pt>
                <c:pt idx="314">
                  <c:v>314</c:v>
                </c:pt>
                <c:pt idx="315">
                  <c:v>315</c:v>
                </c:pt>
                <c:pt idx="316">
                  <c:v>316</c:v>
                </c:pt>
                <c:pt idx="317">
                  <c:v>317</c:v>
                </c:pt>
                <c:pt idx="318">
                  <c:v>318</c:v>
                </c:pt>
                <c:pt idx="319">
                  <c:v>319</c:v>
                </c:pt>
                <c:pt idx="320">
                  <c:v>320</c:v>
                </c:pt>
                <c:pt idx="321">
                  <c:v>321</c:v>
                </c:pt>
                <c:pt idx="322">
                  <c:v>322</c:v>
                </c:pt>
                <c:pt idx="323">
                  <c:v>323</c:v>
                </c:pt>
                <c:pt idx="324">
                  <c:v>324</c:v>
                </c:pt>
                <c:pt idx="325">
                  <c:v>325</c:v>
                </c:pt>
                <c:pt idx="326">
                  <c:v>326</c:v>
                </c:pt>
                <c:pt idx="327">
                  <c:v>327</c:v>
                </c:pt>
                <c:pt idx="328">
                  <c:v>328</c:v>
                </c:pt>
                <c:pt idx="329">
                  <c:v>329</c:v>
                </c:pt>
                <c:pt idx="330">
                  <c:v>330</c:v>
                </c:pt>
                <c:pt idx="331">
                  <c:v>331</c:v>
                </c:pt>
                <c:pt idx="332">
                  <c:v>332</c:v>
                </c:pt>
                <c:pt idx="333">
                  <c:v>333</c:v>
                </c:pt>
                <c:pt idx="334">
                  <c:v>334</c:v>
                </c:pt>
                <c:pt idx="335">
                  <c:v>335</c:v>
                </c:pt>
                <c:pt idx="336">
                  <c:v>336</c:v>
                </c:pt>
                <c:pt idx="337">
                  <c:v>337</c:v>
                </c:pt>
                <c:pt idx="338">
                  <c:v>338</c:v>
                </c:pt>
                <c:pt idx="339">
                  <c:v>339</c:v>
                </c:pt>
                <c:pt idx="340">
                  <c:v>340</c:v>
                </c:pt>
                <c:pt idx="341">
                  <c:v>341</c:v>
                </c:pt>
                <c:pt idx="342">
                  <c:v>342</c:v>
                </c:pt>
                <c:pt idx="343">
                  <c:v>343</c:v>
                </c:pt>
                <c:pt idx="344">
                  <c:v>344</c:v>
                </c:pt>
                <c:pt idx="345">
                  <c:v>345</c:v>
                </c:pt>
                <c:pt idx="346">
                  <c:v>346</c:v>
                </c:pt>
                <c:pt idx="347">
                  <c:v>347</c:v>
                </c:pt>
                <c:pt idx="348">
                  <c:v>348</c:v>
                </c:pt>
                <c:pt idx="349">
                  <c:v>349</c:v>
                </c:pt>
                <c:pt idx="350">
                  <c:v>350</c:v>
                </c:pt>
                <c:pt idx="351">
                  <c:v>351</c:v>
                </c:pt>
                <c:pt idx="352">
                  <c:v>352</c:v>
                </c:pt>
                <c:pt idx="353">
                  <c:v>353</c:v>
                </c:pt>
                <c:pt idx="354">
                  <c:v>354</c:v>
                </c:pt>
                <c:pt idx="355">
                  <c:v>355</c:v>
                </c:pt>
                <c:pt idx="356">
                  <c:v>356</c:v>
                </c:pt>
                <c:pt idx="357">
                  <c:v>357</c:v>
                </c:pt>
                <c:pt idx="358">
                  <c:v>358</c:v>
                </c:pt>
                <c:pt idx="359">
                  <c:v>359</c:v>
                </c:pt>
                <c:pt idx="360">
                  <c:v>360</c:v>
                </c:pt>
                <c:pt idx="361">
                  <c:v>361</c:v>
                </c:pt>
                <c:pt idx="362">
                  <c:v>362</c:v>
                </c:pt>
                <c:pt idx="363">
                  <c:v>363</c:v>
                </c:pt>
                <c:pt idx="364">
                  <c:v>364</c:v>
                </c:pt>
                <c:pt idx="365">
                  <c:v>365</c:v>
                </c:pt>
                <c:pt idx="366">
                  <c:v>366</c:v>
                </c:pt>
                <c:pt idx="367">
                  <c:v>367</c:v>
                </c:pt>
                <c:pt idx="368">
                  <c:v>368</c:v>
                </c:pt>
                <c:pt idx="369">
                  <c:v>369</c:v>
                </c:pt>
                <c:pt idx="370">
                  <c:v>370</c:v>
                </c:pt>
                <c:pt idx="371">
                  <c:v>371</c:v>
                </c:pt>
                <c:pt idx="372">
                  <c:v>372</c:v>
                </c:pt>
                <c:pt idx="373">
                  <c:v>373</c:v>
                </c:pt>
                <c:pt idx="374">
                  <c:v>374</c:v>
                </c:pt>
                <c:pt idx="375">
                  <c:v>375</c:v>
                </c:pt>
                <c:pt idx="376">
                  <c:v>376</c:v>
                </c:pt>
                <c:pt idx="377">
                  <c:v>377</c:v>
                </c:pt>
                <c:pt idx="378">
                  <c:v>378</c:v>
                </c:pt>
                <c:pt idx="379">
                  <c:v>379</c:v>
                </c:pt>
                <c:pt idx="380">
                  <c:v>380</c:v>
                </c:pt>
                <c:pt idx="381">
                  <c:v>381</c:v>
                </c:pt>
                <c:pt idx="382">
                  <c:v>382</c:v>
                </c:pt>
                <c:pt idx="383">
                  <c:v>383</c:v>
                </c:pt>
                <c:pt idx="384">
                  <c:v>384</c:v>
                </c:pt>
                <c:pt idx="385">
                  <c:v>385</c:v>
                </c:pt>
                <c:pt idx="386">
                  <c:v>386</c:v>
                </c:pt>
                <c:pt idx="387">
                  <c:v>387</c:v>
                </c:pt>
                <c:pt idx="388">
                  <c:v>388</c:v>
                </c:pt>
                <c:pt idx="389">
                  <c:v>389</c:v>
                </c:pt>
                <c:pt idx="390">
                  <c:v>390</c:v>
                </c:pt>
                <c:pt idx="391">
                  <c:v>391</c:v>
                </c:pt>
                <c:pt idx="392">
                  <c:v>392</c:v>
                </c:pt>
                <c:pt idx="393">
                  <c:v>393</c:v>
                </c:pt>
                <c:pt idx="394">
                  <c:v>394</c:v>
                </c:pt>
                <c:pt idx="395">
                  <c:v>395</c:v>
                </c:pt>
                <c:pt idx="396">
                  <c:v>396</c:v>
                </c:pt>
                <c:pt idx="397">
                  <c:v>397</c:v>
                </c:pt>
                <c:pt idx="398">
                  <c:v>398</c:v>
                </c:pt>
                <c:pt idx="399">
                  <c:v>399</c:v>
                </c:pt>
                <c:pt idx="400">
                  <c:v>400</c:v>
                </c:pt>
                <c:pt idx="401">
                  <c:v>401</c:v>
                </c:pt>
                <c:pt idx="402">
                  <c:v>402</c:v>
                </c:pt>
                <c:pt idx="403">
                  <c:v>403</c:v>
                </c:pt>
                <c:pt idx="404">
                  <c:v>404</c:v>
                </c:pt>
                <c:pt idx="405">
                  <c:v>405</c:v>
                </c:pt>
                <c:pt idx="406">
                  <c:v>406</c:v>
                </c:pt>
                <c:pt idx="407">
                  <c:v>407</c:v>
                </c:pt>
                <c:pt idx="408">
                  <c:v>408</c:v>
                </c:pt>
                <c:pt idx="409">
                  <c:v>409</c:v>
                </c:pt>
                <c:pt idx="410">
                  <c:v>410</c:v>
                </c:pt>
                <c:pt idx="411">
                  <c:v>411</c:v>
                </c:pt>
                <c:pt idx="412">
                  <c:v>412</c:v>
                </c:pt>
                <c:pt idx="413">
                  <c:v>413</c:v>
                </c:pt>
                <c:pt idx="414">
                  <c:v>414</c:v>
                </c:pt>
                <c:pt idx="415">
                  <c:v>415</c:v>
                </c:pt>
                <c:pt idx="416">
                  <c:v>416</c:v>
                </c:pt>
                <c:pt idx="417">
                  <c:v>417</c:v>
                </c:pt>
                <c:pt idx="418">
                  <c:v>418</c:v>
                </c:pt>
                <c:pt idx="419">
                  <c:v>419</c:v>
                </c:pt>
                <c:pt idx="420">
                  <c:v>420</c:v>
                </c:pt>
                <c:pt idx="421">
                  <c:v>421</c:v>
                </c:pt>
                <c:pt idx="422">
                  <c:v>422</c:v>
                </c:pt>
                <c:pt idx="423">
                  <c:v>423</c:v>
                </c:pt>
                <c:pt idx="424">
                  <c:v>424</c:v>
                </c:pt>
                <c:pt idx="425">
                  <c:v>425</c:v>
                </c:pt>
                <c:pt idx="426">
                  <c:v>426</c:v>
                </c:pt>
                <c:pt idx="427">
                  <c:v>427</c:v>
                </c:pt>
                <c:pt idx="428">
                  <c:v>428</c:v>
                </c:pt>
                <c:pt idx="429">
                  <c:v>429</c:v>
                </c:pt>
                <c:pt idx="430">
                  <c:v>430</c:v>
                </c:pt>
                <c:pt idx="431">
                  <c:v>431</c:v>
                </c:pt>
                <c:pt idx="432">
                  <c:v>432</c:v>
                </c:pt>
                <c:pt idx="433">
                  <c:v>433</c:v>
                </c:pt>
                <c:pt idx="434">
                  <c:v>434</c:v>
                </c:pt>
                <c:pt idx="435">
                  <c:v>435</c:v>
                </c:pt>
                <c:pt idx="436">
                  <c:v>436</c:v>
                </c:pt>
                <c:pt idx="437">
                  <c:v>437</c:v>
                </c:pt>
                <c:pt idx="438">
                  <c:v>438</c:v>
                </c:pt>
                <c:pt idx="439">
                  <c:v>439</c:v>
                </c:pt>
                <c:pt idx="440">
                  <c:v>440</c:v>
                </c:pt>
                <c:pt idx="441">
                  <c:v>441</c:v>
                </c:pt>
                <c:pt idx="442">
                  <c:v>442</c:v>
                </c:pt>
                <c:pt idx="443">
                  <c:v>443</c:v>
                </c:pt>
                <c:pt idx="444">
                  <c:v>444</c:v>
                </c:pt>
                <c:pt idx="445">
                  <c:v>445</c:v>
                </c:pt>
                <c:pt idx="446">
                  <c:v>446</c:v>
                </c:pt>
                <c:pt idx="447">
                  <c:v>447</c:v>
                </c:pt>
                <c:pt idx="448">
                  <c:v>448</c:v>
                </c:pt>
                <c:pt idx="449">
                  <c:v>449</c:v>
                </c:pt>
                <c:pt idx="450">
                  <c:v>450</c:v>
                </c:pt>
                <c:pt idx="451">
                  <c:v>451</c:v>
                </c:pt>
                <c:pt idx="452">
                  <c:v>452</c:v>
                </c:pt>
                <c:pt idx="453">
                  <c:v>453</c:v>
                </c:pt>
                <c:pt idx="454">
                  <c:v>454</c:v>
                </c:pt>
                <c:pt idx="455">
                  <c:v>455</c:v>
                </c:pt>
                <c:pt idx="456">
                  <c:v>456</c:v>
                </c:pt>
                <c:pt idx="457">
                  <c:v>457</c:v>
                </c:pt>
                <c:pt idx="458">
                  <c:v>458</c:v>
                </c:pt>
                <c:pt idx="459">
                  <c:v>459</c:v>
                </c:pt>
                <c:pt idx="460">
                  <c:v>460</c:v>
                </c:pt>
                <c:pt idx="461">
                  <c:v>461</c:v>
                </c:pt>
                <c:pt idx="462">
                  <c:v>462</c:v>
                </c:pt>
                <c:pt idx="463">
                  <c:v>463</c:v>
                </c:pt>
                <c:pt idx="464">
                  <c:v>464</c:v>
                </c:pt>
                <c:pt idx="465">
                  <c:v>465</c:v>
                </c:pt>
                <c:pt idx="466">
                  <c:v>466</c:v>
                </c:pt>
                <c:pt idx="467">
                  <c:v>467</c:v>
                </c:pt>
                <c:pt idx="468">
                  <c:v>468</c:v>
                </c:pt>
                <c:pt idx="469">
                  <c:v>469</c:v>
                </c:pt>
                <c:pt idx="470">
                  <c:v>470</c:v>
                </c:pt>
                <c:pt idx="471">
                  <c:v>471</c:v>
                </c:pt>
                <c:pt idx="472">
                  <c:v>472</c:v>
                </c:pt>
                <c:pt idx="473">
                  <c:v>473</c:v>
                </c:pt>
                <c:pt idx="474">
                  <c:v>474</c:v>
                </c:pt>
                <c:pt idx="475">
                  <c:v>475</c:v>
                </c:pt>
                <c:pt idx="476">
                  <c:v>476</c:v>
                </c:pt>
                <c:pt idx="477">
                  <c:v>477</c:v>
                </c:pt>
                <c:pt idx="478">
                  <c:v>478</c:v>
                </c:pt>
                <c:pt idx="479">
                  <c:v>479</c:v>
                </c:pt>
                <c:pt idx="480">
                  <c:v>480</c:v>
                </c:pt>
                <c:pt idx="481">
                  <c:v>481</c:v>
                </c:pt>
                <c:pt idx="482">
                  <c:v>482</c:v>
                </c:pt>
                <c:pt idx="483">
                  <c:v>483</c:v>
                </c:pt>
                <c:pt idx="484">
                  <c:v>484</c:v>
                </c:pt>
                <c:pt idx="485">
                  <c:v>485</c:v>
                </c:pt>
                <c:pt idx="486">
                  <c:v>486</c:v>
                </c:pt>
                <c:pt idx="487">
                  <c:v>487</c:v>
                </c:pt>
                <c:pt idx="488">
                  <c:v>488</c:v>
                </c:pt>
                <c:pt idx="489">
                  <c:v>489</c:v>
                </c:pt>
                <c:pt idx="490">
                  <c:v>490</c:v>
                </c:pt>
                <c:pt idx="491">
                  <c:v>491</c:v>
                </c:pt>
                <c:pt idx="492">
                  <c:v>492</c:v>
                </c:pt>
                <c:pt idx="493">
                  <c:v>493</c:v>
                </c:pt>
                <c:pt idx="494">
                  <c:v>494</c:v>
                </c:pt>
                <c:pt idx="495">
                  <c:v>495</c:v>
                </c:pt>
                <c:pt idx="496">
                  <c:v>496</c:v>
                </c:pt>
                <c:pt idx="497">
                  <c:v>497</c:v>
                </c:pt>
                <c:pt idx="498">
                  <c:v>498</c:v>
                </c:pt>
                <c:pt idx="499">
                  <c:v>499</c:v>
                </c:pt>
                <c:pt idx="500">
                  <c:v>500</c:v>
                </c:pt>
              </c:numCache>
            </c:numRef>
          </c:xVal>
          <c:yVal>
            <c:numRef>
              <c:f>Worksheet!$I$2:$I$502</c:f>
              <c:numCache>
                <c:formatCode>0</c:formatCode>
                <c:ptCount val="501"/>
                <c:pt idx="0">
                  <c:v>0</c:v>
                </c:pt>
                <c:pt idx="1">
                  <c:v>14.354802462</c:v>
                </c:pt>
                <c:pt idx="2">
                  <c:v>21.797723155</c:v>
                </c:pt>
                <c:pt idx="3">
                  <c:v>26.995092637999999</c:v>
                </c:pt>
                <c:pt idx="4">
                  <c:v>31.658289308999997</c:v>
                </c:pt>
                <c:pt idx="5">
                  <c:v>35.992200845999996</c:v>
                </c:pt>
                <c:pt idx="6">
                  <c:v>39.811038334999992</c:v>
                </c:pt>
                <c:pt idx="7">
                  <c:v>43.13647181999999</c:v>
                </c:pt>
                <c:pt idx="8">
                  <c:v>46.809100579999992</c:v>
                </c:pt>
                <c:pt idx="9">
                  <c:v>48.356759035999993</c:v>
                </c:pt>
                <c:pt idx="10" formatCode="0.0">
                  <c:v>49.683585392999994</c:v>
                </c:pt>
                <c:pt idx="11">
                  <c:v>50.803200493999995</c:v>
                </c:pt>
                <c:pt idx="12">
                  <c:v>51.896002211999992</c:v>
                </c:pt>
                <c:pt idx="13">
                  <c:v>52.688682918999994</c:v>
                </c:pt>
                <c:pt idx="14">
                  <c:v>53.442535049999996</c:v>
                </c:pt>
                <c:pt idx="15">
                  <c:v>54.188741903999997</c:v>
                </c:pt>
                <c:pt idx="16">
                  <c:v>54.909434752999999</c:v>
                </c:pt>
                <c:pt idx="17">
                  <c:v>55.544921979000001</c:v>
                </c:pt>
                <c:pt idx="18">
                  <c:v>56.154829970000002</c:v>
                </c:pt>
                <c:pt idx="19">
                  <c:v>56.759994358</c:v>
                </c:pt>
                <c:pt idx="20">
                  <c:v>57.361237870000004</c:v>
                </c:pt>
                <c:pt idx="21">
                  <c:v>57.955446886000004</c:v>
                </c:pt>
                <c:pt idx="22">
                  <c:v>58.539429049000006</c:v>
                </c:pt>
                <c:pt idx="23">
                  <c:v>59.107717081000004</c:v>
                </c:pt>
                <c:pt idx="24">
                  <c:v>59.648664927000006</c:v>
                </c:pt>
                <c:pt idx="25">
                  <c:v>60.187286969000006</c:v>
                </c:pt>
                <c:pt idx="26">
                  <c:v>60.654832094000007</c:v>
                </c:pt>
                <c:pt idx="27">
                  <c:v>61.111920006000005</c:v>
                </c:pt>
                <c:pt idx="28">
                  <c:v>61.568934829000007</c:v>
                </c:pt>
                <c:pt idx="29">
                  <c:v>62.019262878000006</c:v>
                </c:pt>
                <c:pt idx="30">
                  <c:v>62.453161801000007</c:v>
                </c:pt>
                <c:pt idx="31">
                  <c:v>62.879536843000004</c:v>
                </c:pt>
                <c:pt idx="32">
                  <c:v>63.289621386000007</c:v>
                </c:pt>
                <c:pt idx="33">
                  <c:v>63.684229857000005</c:v>
                </c:pt>
                <c:pt idx="34">
                  <c:v>64.07726348300001</c:v>
                </c:pt>
                <c:pt idx="35">
                  <c:v>64.463709511000005</c:v>
                </c:pt>
                <c:pt idx="36">
                  <c:v>64.837577242999998</c:v>
                </c:pt>
                <c:pt idx="37">
                  <c:v>65.209961649999997</c:v>
                </c:pt>
                <c:pt idx="38">
                  <c:v>65.580483129000001</c:v>
                </c:pt>
                <c:pt idx="39">
                  <c:v>65.942239204000003</c:v>
                </c:pt>
                <c:pt idx="40">
                  <c:v>66.301628305999998</c:v>
                </c:pt>
                <c:pt idx="41">
                  <c:v>66.660345612</c:v>
                </c:pt>
                <c:pt idx="42">
                  <c:v>67.008141038000005</c:v>
                </c:pt>
                <c:pt idx="43">
                  <c:v>67.353305012000007</c:v>
                </c:pt>
                <c:pt idx="44">
                  <c:v>67.694756700000013</c:v>
                </c:pt>
                <c:pt idx="45">
                  <c:v>68.030227007000008</c:v>
                </c:pt>
                <c:pt idx="46">
                  <c:v>68.35869184900001</c:v>
                </c:pt>
                <c:pt idx="47">
                  <c:v>68.68585786700001</c:v>
                </c:pt>
                <c:pt idx="48">
                  <c:v>69.012969806000015</c:v>
                </c:pt>
                <c:pt idx="49">
                  <c:v>69.333564328000008</c:v>
                </c:pt>
                <c:pt idx="50">
                  <c:v>69.653907524000005</c:v>
                </c:pt>
                <c:pt idx="51">
                  <c:v>69.969320914000008</c:v>
                </c:pt>
                <c:pt idx="52">
                  <c:v>70.277350257000009</c:v>
                </c:pt>
                <c:pt idx="53">
                  <c:v>70.582882452000007</c:v>
                </c:pt>
                <c:pt idx="54">
                  <c:v>70.887996095000005</c:v>
                </c:pt>
                <c:pt idx="55">
                  <c:v>71.187920795000011</c:v>
                </c:pt>
                <c:pt idx="56">
                  <c:v>71.479615546000005</c:v>
                </c:pt>
                <c:pt idx="57">
                  <c:v>71.770682648000005</c:v>
                </c:pt>
                <c:pt idx="58">
                  <c:v>72.054428522999999</c:v>
                </c:pt>
                <c:pt idx="59">
                  <c:v>72.327048973000004</c:v>
                </c:pt>
                <c:pt idx="60">
                  <c:v>72.59760145300001</c:v>
                </c:pt>
                <c:pt idx="61">
                  <c:v>72.860621994000013</c:v>
                </c:pt>
                <c:pt idx="62">
                  <c:v>73.119903466000011</c:v>
                </c:pt>
                <c:pt idx="63">
                  <c:v>73.378957631000006</c:v>
                </c:pt>
                <c:pt idx="64">
                  <c:v>73.636580318</c:v>
                </c:pt>
                <c:pt idx="65">
                  <c:v>73.892182739999996</c:v>
                </c:pt>
                <c:pt idx="66">
                  <c:v>74.129264570999993</c:v>
                </c:pt>
                <c:pt idx="67">
                  <c:v>74.356513978999999</c:v>
                </c:pt>
                <c:pt idx="68">
                  <c:v>74.577968005000002</c:v>
                </c:pt>
                <c:pt idx="69">
                  <c:v>74.799207311000004</c:v>
                </c:pt>
                <c:pt idx="70">
                  <c:v>75.00906044700001</c:v>
                </c:pt>
                <c:pt idx="71">
                  <c:v>75.217426844000016</c:v>
                </c:pt>
                <c:pt idx="72">
                  <c:v>75.422171470000009</c:v>
                </c:pt>
                <c:pt idx="73">
                  <c:v>75.626371249000016</c:v>
                </c:pt>
                <c:pt idx="74">
                  <c:v>75.828948091000015</c:v>
                </c:pt>
                <c:pt idx="75">
                  <c:v>76.027752893000013</c:v>
                </c:pt>
                <c:pt idx="76">
                  <c:v>76.221359691000018</c:v>
                </c:pt>
                <c:pt idx="77">
                  <c:v>76.414038070000018</c:v>
                </c:pt>
                <c:pt idx="78">
                  <c:v>76.606246128000024</c:v>
                </c:pt>
                <c:pt idx="79">
                  <c:v>76.796861868000022</c:v>
                </c:pt>
                <c:pt idx="80">
                  <c:v>76.987268360000016</c:v>
                </c:pt>
                <c:pt idx="81">
                  <c:v>77.177367671000013</c:v>
                </c:pt>
                <c:pt idx="82">
                  <c:v>77.365686987000018</c:v>
                </c:pt>
                <c:pt idx="83">
                  <c:v>77.549419840000013</c:v>
                </c:pt>
                <c:pt idx="84">
                  <c:v>77.73260843700001</c:v>
                </c:pt>
                <c:pt idx="85">
                  <c:v>77.914951347000013</c:v>
                </c:pt>
                <c:pt idx="86">
                  <c:v>78.096647007000016</c:v>
                </c:pt>
                <c:pt idx="87">
                  <c:v>78.274238093000022</c:v>
                </c:pt>
                <c:pt idx="88">
                  <c:v>78.447158430000016</c:v>
                </c:pt>
                <c:pt idx="89">
                  <c:v>78.619255823000017</c:v>
                </c:pt>
                <c:pt idx="90">
                  <c:v>78.787593891000014</c:v>
                </c:pt>
                <c:pt idx="91">
                  <c:v>78.950597640000012</c:v>
                </c:pt>
                <c:pt idx="92">
                  <c:v>79.113053042000018</c:v>
                </c:pt>
                <c:pt idx="93">
                  <c:v>79.275437492000023</c:v>
                </c:pt>
                <c:pt idx="94">
                  <c:v>79.437047716000023</c:v>
                </c:pt>
                <c:pt idx="95">
                  <c:v>79.596401417000024</c:v>
                </c:pt>
                <c:pt idx="96">
                  <c:v>79.755065897000023</c:v>
                </c:pt>
                <c:pt idx="97">
                  <c:v>79.909988915000028</c:v>
                </c:pt>
                <c:pt idx="98">
                  <c:v>80.062067798000029</c:v>
                </c:pt>
                <c:pt idx="99">
                  <c:v>80.213917917000032</c:v>
                </c:pt>
                <c:pt idx="100">
                  <c:v>80.365340208000035</c:v>
                </c:pt>
                <c:pt idx="101">
                  <c:v>80.513486388000032</c:v>
                </c:pt>
                <c:pt idx="102">
                  <c:v>80.661540229000039</c:v>
                </c:pt>
                <c:pt idx="103">
                  <c:v>80.806573115000035</c:v>
                </c:pt>
                <c:pt idx="104">
                  <c:v>80.94968266100004</c:v>
                </c:pt>
                <c:pt idx="105">
                  <c:v>81.091080003000044</c:v>
                </c:pt>
                <c:pt idx="106">
                  <c:v>81.23173289900005</c:v>
                </c:pt>
                <c:pt idx="107">
                  <c:v>81.372065459000055</c:v>
                </c:pt>
                <c:pt idx="108">
                  <c:v>81.511922215000055</c:v>
                </c:pt>
                <c:pt idx="109">
                  <c:v>81.651498221000054</c:v>
                </c:pt>
                <c:pt idx="110">
                  <c:v>81.789019767000056</c:v>
                </c:pt>
                <c:pt idx="111">
                  <c:v>81.925901316000051</c:v>
                </c:pt>
                <c:pt idx="112">
                  <c:v>82.062459658000051</c:v>
                </c:pt>
                <c:pt idx="113">
                  <c:v>82.195983854000048</c:v>
                </c:pt>
                <c:pt idx="114">
                  <c:v>82.32922022700005</c:v>
                </c:pt>
                <c:pt idx="115">
                  <c:v>82.462419467000046</c:v>
                </c:pt>
                <c:pt idx="116">
                  <c:v>82.594621294000049</c:v>
                </c:pt>
                <c:pt idx="117">
                  <c:v>82.726683355000048</c:v>
                </c:pt>
                <c:pt idx="118">
                  <c:v>82.858675854000055</c:v>
                </c:pt>
                <c:pt idx="119">
                  <c:v>82.98931674800005</c:v>
                </c:pt>
                <c:pt idx="120">
                  <c:v>83.119524751000057</c:v>
                </c:pt>
                <c:pt idx="121">
                  <c:v>83.249060827000051</c:v>
                </c:pt>
                <c:pt idx="122">
                  <c:v>83.377809757000051</c:v>
                </c:pt>
                <c:pt idx="123">
                  <c:v>83.506443240000053</c:v>
                </c:pt>
                <c:pt idx="124">
                  <c:v>83.634799606000058</c:v>
                </c:pt>
                <c:pt idx="125">
                  <c:v>83.762928538000054</c:v>
                </c:pt>
                <c:pt idx="126">
                  <c:v>83.890327325000058</c:v>
                </c:pt>
                <c:pt idx="127">
                  <c:v>84.015202766000058</c:v>
                </c:pt>
                <c:pt idx="128">
                  <c:v>84.139723569000054</c:v>
                </c:pt>
                <c:pt idx="129">
                  <c:v>84.261584250000055</c:v>
                </c:pt>
                <c:pt idx="130">
                  <c:v>84.383141695000049</c:v>
                </c:pt>
                <c:pt idx="131">
                  <c:v>84.504639314000045</c:v>
                </c:pt>
                <c:pt idx="132">
                  <c:v>84.625440678000047</c:v>
                </c:pt>
                <c:pt idx="133">
                  <c:v>84.745340316000053</c:v>
                </c:pt>
                <c:pt idx="134">
                  <c:v>84.864781242000049</c:v>
                </c:pt>
                <c:pt idx="135">
                  <c:v>84.983238807000049</c:v>
                </c:pt>
                <c:pt idx="136">
                  <c:v>85.101401902000049</c:v>
                </c:pt>
                <c:pt idx="137">
                  <c:v>85.219495623000043</c:v>
                </c:pt>
                <c:pt idx="138">
                  <c:v>85.33506521300005</c:v>
                </c:pt>
                <c:pt idx="139">
                  <c:v>85.450572045000044</c:v>
                </c:pt>
                <c:pt idx="140">
                  <c:v>85.564846559000046</c:v>
                </c:pt>
                <c:pt idx="141">
                  <c:v>85.677883996000048</c:v>
                </c:pt>
                <c:pt idx="142">
                  <c:v>85.788160840000046</c:v>
                </c:pt>
                <c:pt idx="143">
                  <c:v>85.898042502000052</c:v>
                </c:pt>
                <c:pt idx="144">
                  <c:v>86.007668698000046</c:v>
                </c:pt>
                <c:pt idx="145">
                  <c:v>86.113950408000051</c:v>
                </c:pt>
                <c:pt idx="146">
                  <c:v>86.219271721000055</c:v>
                </c:pt>
                <c:pt idx="147">
                  <c:v>86.323611033000049</c:v>
                </c:pt>
                <c:pt idx="148">
                  <c:v>86.426972640000045</c:v>
                </c:pt>
                <c:pt idx="149">
                  <c:v>86.52995464200005</c:v>
                </c:pt>
                <c:pt idx="150">
                  <c:v>86.629401736000048</c:v>
                </c:pt>
                <c:pt idx="151">
                  <c:v>86.727105434000052</c:v>
                </c:pt>
                <c:pt idx="152">
                  <c:v>86.823392199000054</c:v>
                </c:pt>
                <c:pt idx="153">
                  <c:v>86.917812339000051</c:v>
                </c:pt>
                <c:pt idx="154">
                  <c:v>87.011161728000047</c:v>
                </c:pt>
                <c:pt idx="155">
                  <c:v>87.104432773000042</c:v>
                </c:pt>
                <c:pt idx="156">
                  <c:v>87.196693642000042</c:v>
                </c:pt>
                <c:pt idx="157">
                  <c:v>87.28860556900004</c:v>
                </c:pt>
                <c:pt idx="158">
                  <c:v>87.379997645000046</c:v>
                </c:pt>
                <c:pt idx="159">
                  <c:v>87.470779828000047</c:v>
                </c:pt>
                <c:pt idx="160">
                  <c:v>87.561162232000044</c:v>
                </c:pt>
                <c:pt idx="161">
                  <c:v>87.650615449000043</c:v>
                </c:pt>
                <c:pt idx="162">
                  <c:v>87.739482671000047</c:v>
                </c:pt>
                <c:pt idx="163">
                  <c:v>87.827910594000045</c:v>
                </c:pt>
                <c:pt idx="164">
                  <c:v>87.916298481000041</c:v>
                </c:pt>
                <c:pt idx="165">
                  <c:v>88.004295695000039</c:v>
                </c:pt>
                <c:pt idx="166">
                  <c:v>88.091481401000038</c:v>
                </c:pt>
                <c:pt idx="167">
                  <c:v>88.178592325000039</c:v>
                </c:pt>
                <c:pt idx="168">
                  <c:v>88.265009061000043</c:v>
                </c:pt>
                <c:pt idx="169">
                  <c:v>88.351419947000039</c:v>
                </c:pt>
                <c:pt idx="170">
                  <c:v>88.436335756000034</c:v>
                </c:pt>
                <c:pt idx="171">
                  <c:v>88.520316832000034</c:v>
                </c:pt>
                <c:pt idx="172">
                  <c:v>88.603732628000031</c:v>
                </c:pt>
                <c:pt idx="173">
                  <c:v>88.685859474000026</c:v>
                </c:pt>
                <c:pt idx="174">
                  <c:v>88.767430720000021</c:v>
                </c:pt>
                <c:pt idx="175">
                  <c:v>88.848269346000023</c:v>
                </c:pt>
                <c:pt idx="176">
                  <c:v>88.928970910000018</c:v>
                </c:pt>
                <c:pt idx="177">
                  <c:v>89.007717637000013</c:v>
                </c:pt>
                <c:pt idx="178">
                  <c:v>89.086290923000007</c:v>
                </c:pt>
                <c:pt idx="179">
                  <c:v>89.164650024000011</c:v>
                </c:pt>
                <c:pt idx="180">
                  <c:v>89.242229276000018</c:v>
                </c:pt>
                <c:pt idx="181">
                  <c:v>89.319413609000023</c:v>
                </c:pt>
                <c:pt idx="182">
                  <c:v>89.396531051000025</c:v>
                </c:pt>
                <c:pt idx="183">
                  <c:v>89.473318883000019</c:v>
                </c:pt>
                <c:pt idx="184">
                  <c:v>89.549948018000023</c:v>
                </c:pt>
                <c:pt idx="185">
                  <c:v>89.62625489200002</c:v>
                </c:pt>
                <c:pt idx="186">
                  <c:v>89.702530919000026</c:v>
                </c:pt>
                <c:pt idx="187">
                  <c:v>89.778174009000026</c:v>
                </c:pt>
                <c:pt idx="188">
                  <c:v>89.853555703000026</c:v>
                </c:pt>
                <c:pt idx="189">
                  <c:v>89.928428356000026</c:v>
                </c:pt>
                <c:pt idx="190">
                  <c:v>90.003231014000022</c:v>
                </c:pt>
                <c:pt idx="191">
                  <c:v>90.076940045000029</c:v>
                </c:pt>
                <c:pt idx="192">
                  <c:v>90.150479389000026</c:v>
                </c:pt>
                <c:pt idx="193">
                  <c:v>90.223951886000023</c:v>
                </c:pt>
                <c:pt idx="194">
                  <c:v>90.29708163200003</c:v>
                </c:pt>
                <c:pt idx="195">
                  <c:v>90.369787964000025</c:v>
                </c:pt>
                <c:pt idx="196">
                  <c:v>90.440300040000025</c:v>
                </c:pt>
                <c:pt idx="197">
                  <c:v>90.510649290000032</c:v>
                </c:pt>
                <c:pt idx="198">
                  <c:v>90.58072809200003</c:v>
                </c:pt>
                <c:pt idx="199">
                  <c:v>90.649400275000033</c:v>
                </c:pt>
                <c:pt idx="200">
                  <c:v>90.718014768000032</c:v>
                </c:pt>
                <c:pt idx="201">
                  <c:v>90.786476269000033</c:v>
                </c:pt>
                <c:pt idx="202">
                  <c:v>90.853969385000028</c:v>
                </c:pt>
                <c:pt idx="203">
                  <c:v>90.920738432000022</c:v>
                </c:pt>
                <c:pt idx="204">
                  <c:v>90.987107794000025</c:v>
                </c:pt>
                <c:pt idx="205">
                  <c:v>91.053255740000026</c:v>
                </c:pt>
                <c:pt idx="206">
                  <c:v>91.118961064000032</c:v>
                </c:pt>
                <c:pt idx="207">
                  <c:v>91.18447511600003</c:v>
                </c:pt>
                <c:pt idx="208">
                  <c:v>91.249165595000036</c:v>
                </c:pt>
                <c:pt idx="209">
                  <c:v>91.312744744000042</c:v>
                </c:pt>
                <c:pt idx="210">
                  <c:v>91.376156693000041</c:v>
                </c:pt>
                <c:pt idx="211">
                  <c:v>91.43932063000004</c:v>
                </c:pt>
                <c:pt idx="212">
                  <c:v>91.502439433000035</c:v>
                </c:pt>
                <c:pt idx="213">
                  <c:v>91.565505201000036</c:v>
                </c:pt>
                <c:pt idx="214">
                  <c:v>91.628303617000043</c:v>
                </c:pt>
                <c:pt idx="215">
                  <c:v>91.690823820000048</c:v>
                </c:pt>
                <c:pt idx="216">
                  <c:v>91.753318246000049</c:v>
                </c:pt>
                <c:pt idx="217">
                  <c:v>91.814357766000043</c:v>
                </c:pt>
                <c:pt idx="218">
                  <c:v>91.874487386000041</c:v>
                </c:pt>
                <c:pt idx="219">
                  <c:v>91.934574432000048</c:v>
                </c:pt>
                <c:pt idx="220">
                  <c:v>91.994516761000042</c:v>
                </c:pt>
                <c:pt idx="221">
                  <c:v>92.054295666000044</c:v>
                </c:pt>
                <c:pt idx="222">
                  <c:v>92.113704227000042</c:v>
                </c:pt>
                <c:pt idx="223">
                  <c:v>92.173104103000043</c:v>
                </c:pt>
                <c:pt idx="224">
                  <c:v>92.23202213600004</c:v>
                </c:pt>
                <c:pt idx="225">
                  <c:v>92.290481922000041</c:v>
                </c:pt>
                <c:pt idx="226">
                  <c:v>92.348898552000037</c:v>
                </c:pt>
                <c:pt idx="227">
                  <c:v>92.407293702000032</c:v>
                </c:pt>
                <c:pt idx="228">
                  <c:v>92.465464875000038</c:v>
                </c:pt>
                <c:pt idx="229">
                  <c:v>92.523573370000037</c:v>
                </c:pt>
                <c:pt idx="230">
                  <c:v>92.581400380000034</c:v>
                </c:pt>
                <c:pt idx="231">
                  <c:v>92.639100666000033</c:v>
                </c:pt>
                <c:pt idx="232">
                  <c:v>92.696728550000032</c:v>
                </c:pt>
                <c:pt idx="233">
                  <c:v>92.754356362000038</c:v>
                </c:pt>
                <c:pt idx="234">
                  <c:v>92.811876796000035</c:v>
                </c:pt>
                <c:pt idx="235">
                  <c:v>92.869139567000033</c:v>
                </c:pt>
                <c:pt idx="236">
                  <c:v>92.926214177000034</c:v>
                </c:pt>
                <c:pt idx="237">
                  <c:v>92.982685731000032</c:v>
                </c:pt>
                <c:pt idx="238">
                  <c:v>93.038910851000026</c:v>
                </c:pt>
                <c:pt idx="239">
                  <c:v>93.094725288000021</c:v>
                </c:pt>
                <c:pt idx="240">
                  <c:v>93.150070629000027</c:v>
                </c:pt>
                <c:pt idx="241">
                  <c:v>93.205410978000032</c:v>
                </c:pt>
                <c:pt idx="242">
                  <c:v>93.260418271000034</c:v>
                </c:pt>
                <c:pt idx="243">
                  <c:v>93.315406396000029</c:v>
                </c:pt>
                <c:pt idx="244">
                  <c:v>93.370374185000031</c:v>
                </c:pt>
                <c:pt idx="245">
                  <c:v>93.425121740000037</c:v>
                </c:pt>
                <c:pt idx="246">
                  <c:v>93.479417626000043</c:v>
                </c:pt>
                <c:pt idx="247">
                  <c:v>93.533241487000041</c:v>
                </c:pt>
                <c:pt idx="248">
                  <c:v>93.587057983000037</c:v>
                </c:pt>
                <c:pt idx="249">
                  <c:v>93.640584122000035</c:v>
                </c:pt>
                <c:pt idx="250">
                  <c:v>93.694005281000031</c:v>
                </c:pt>
                <c:pt idx="251">
                  <c:v>93.747283796000033</c:v>
                </c:pt>
                <c:pt idx="252">
                  <c:v>93.800472593000038</c:v>
                </c:pt>
                <c:pt idx="253">
                  <c:v>93.853313750000041</c:v>
                </c:pt>
                <c:pt idx="254">
                  <c:v>93.905606307000042</c:v>
                </c:pt>
                <c:pt idx="255">
                  <c:v>93.957671140000045</c:v>
                </c:pt>
                <c:pt idx="256">
                  <c:v>94.009563588000049</c:v>
                </c:pt>
                <c:pt idx="257">
                  <c:v>94.060989585000044</c:v>
                </c:pt>
                <c:pt idx="258">
                  <c:v>94.11207808900005</c:v>
                </c:pt>
                <c:pt idx="259">
                  <c:v>94.162981386000055</c:v>
                </c:pt>
                <c:pt idx="260">
                  <c:v>94.213817440000057</c:v>
                </c:pt>
                <c:pt idx="261">
                  <c:v>94.264489539000053</c:v>
                </c:pt>
                <c:pt idx="262">
                  <c:v>94.314967806000055</c:v>
                </c:pt>
                <c:pt idx="263">
                  <c:v>94.365208162000059</c:v>
                </c:pt>
                <c:pt idx="264">
                  <c:v>94.415349258000063</c:v>
                </c:pt>
                <c:pt idx="265">
                  <c:v>94.465406018000067</c:v>
                </c:pt>
                <c:pt idx="266">
                  <c:v>94.515244617000064</c:v>
                </c:pt>
                <c:pt idx="267">
                  <c:v>94.565041470000068</c:v>
                </c:pt>
                <c:pt idx="268">
                  <c:v>94.614428325000063</c:v>
                </c:pt>
                <c:pt idx="269">
                  <c:v>94.663461177000059</c:v>
                </c:pt>
                <c:pt idx="270">
                  <c:v>94.712441855000066</c:v>
                </c:pt>
                <c:pt idx="271">
                  <c:v>94.76119833100006</c:v>
                </c:pt>
                <c:pt idx="272">
                  <c:v>94.809525139000058</c:v>
                </c:pt>
                <c:pt idx="273">
                  <c:v>94.857791367000061</c:v>
                </c:pt>
                <c:pt idx="274">
                  <c:v>94.906057232000066</c:v>
                </c:pt>
                <c:pt idx="275">
                  <c:v>94.954083230000066</c:v>
                </c:pt>
                <c:pt idx="276">
                  <c:v>95.001870019000066</c:v>
                </c:pt>
                <c:pt idx="277">
                  <c:v>95.049632637000059</c:v>
                </c:pt>
                <c:pt idx="278">
                  <c:v>95.097097397000056</c:v>
                </c:pt>
                <c:pt idx="279">
                  <c:v>95.144296143000062</c:v>
                </c:pt>
                <c:pt idx="280">
                  <c:v>95.191258856000061</c:v>
                </c:pt>
                <c:pt idx="281">
                  <c:v>95.237709249000062</c:v>
                </c:pt>
                <c:pt idx="282">
                  <c:v>95.284141788000056</c:v>
                </c:pt>
                <c:pt idx="283">
                  <c:v>95.330112109000055</c:v>
                </c:pt>
                <c:pt idx="284">
                  <c:v>95.375825315000057</c:v>
                </c:pt>
                <c:pt idx="285">
                  <c:v>95.421412184000062</c:v>
                </c:pt>
                <c:pt idx="286">
                  <c:v>95.466770220000058</c:v>
                </c:pt>
                <c:pt idx="287">
                  <c:v>95.511444979000061</c:v>
                </c:pt>
                <c:pt idx="288">
                  <c:v>95.555705927000062</c:v>
                </c:pt>
                <c:pt idx="289">
                  <c:v>95.599587382000067</c:v>
                </c:pt>
                <c:pt idx="290">
                  <c:v>95.643279471000071</c:v>
                </c:pt>
                <c:pt idx="291">
                  <c:v>95.686484153000066</c:v>
                </c:pt>
                <c:pt idx="292">
                  <c:v>95.729396266000066</c:v>
                </c:pt>
                <c:pt idx="293">
                  <c:v>95.772104595000073</c:v>
                </c:pt>
                <c:pt idx="294">
                  <c:v>95.814707514000077</c:v>
                </c:pt>
                <c:pt idx="295">
                  <c:v>95.857047919000081</c:v>
                </c:pt>
                <c:pt idx="296">
                  <c:v>95.899187751000085</c:v>
                </c:pt>
                <c:pt idx="297">
                  <c:v>95.94089358800008</c:v>
                </c:pt>
                <c:pt idx="298">
                  <c:v>95.982584139000082</c:v>
                </c:pt>
                <c:pt idx="299">
                  <c:v>96.024229343000087</c:v>
                </c:pt>
                <c:pt idx="300">
                  <c:v>96.06563174100009</c:v>
                </c:pt>
                <c:pt idx="301">
                  <c:v>96.106749025000084</c:v>
                </c:pt>
                <c:pt idx="302">
                  <c:v>96.147692319000086</c:v>
                </c:pt>
                <c:pt idx="303">
                  <c:v>96.188504536000082</c:v>
                </c:pt>
                <c:pt idx="304">
                  <c:v>96.229285832000087</c:v>
                </c:pt>
                <c:pt idx="305">
                  <c:v>96.26983208500009</c:v>
                </c:pt>
                <c:pt idx="306">
                  <c:v>96.310376687000087</c:v>
                </c:pt>
                <c:pt idx="307">
                  <c:v>96.350171821000089</c:v>
                </c:pt>
                <c:pt idx="308">
                  <c:v>96.389695464000084</c:v>
                </c:pt>
                <c:pt idx="309">
                  <c:v>96.428724069000083</c:v>
                </c:pt>
                <c:pt idx="310">
                  <c:v>96.467739833000081</c:v>
                </c:pt>
                <c:pt idx="311">
                  <c:v>96.506632115000087</c:v>
                </c:pt>
                <c:pt idx="312">
                  <c:v>96.545396023000094</c:v>
                </c:pt>
                <c:pt idx="313">
                  <c:v>96.583879969000094</c:v>
                </c:pt>
                <c:pt idx="314">
                  <c:v>96.621892575000089</c:v>
                </c:pt>
                <c:pt idx="315">
                  <c:v>96.659826192000082</c:v>
                </c:pt>
                <c:pt idx="316">
                  <c:v>96.697699890000081</c:v>
                </c:pt>
                <c:pt idx="317">
                  <c:v>96.735526791000083</c:v>
                </c:pt>
                <c:pt idx="318">
                  <c:v>96.773194134000079</c:v>
                </c:pt>
                <c:pt idx="319">
                  <c:v>96.810822717000079</c:v>
                </c:pt>
                <c:pt idx="320">
                  <c:v>96.848212211000074</c:v>
                </c:pt>
                <c:pt idx="321">
                  <c:v>96.885348417000074</c:v>
                </c:pt>
                <c:pt idx="322">
                  <c:v>96.92246281000007</c:v>
                </c:pt>
                <c:pt idx="323">
                  <c:v>96.959049362000073</c:v>
                </c:pt>
                <c:pt idx="324">
                  <c:v>96.995618164000078</c:v>
                </c:pt>
                <c:pt idx="325">
                  <c:v>97.032015398000084</c:v>
                </c:pt>
                <c:pt idx="326">
                  <c:v>97.068343737000077</c:v>
                </c:pt>
                <c:pt idx="327">
                  <c:v>97.104500138000077</c:v>
                </c:pt>
                <c:pt idx="328">
                  <c:v>97.140527258000077</c:v>
                </c:pt>
                <c:pt idx="329">
                  <c:v>97.176130585000081</c:v>
                </c:pt>
                <c:pt idx="330">
                  <c:v>97.211678727000077</c:v>
                </c:pt>
                <c:pt idx="331">
                  <c:v>97.247063119000074</c:v>
                </c:pt>
                <c:pt idx="332">
                  <c:v>97.280312786000081</c:v>
                </c:pt>
                <c:pt idx="333">
                  <c:v>97.313483415000078</c:v>
                </c:pt>
                <c:pt idx="334">
                  <c:v>97.34660222800008</c:v>
                </c:pt>
                <c:pt idx="335">
                  <c:v>97.379422665000078</c:v>
                </c:pt>
                <c:pt idx="336">
                  <c:v>97.411996549000079</c:v>
                </c:pt>
                <c:pt idx="337">
                  <c:v>97.444531700000084</c:v>
                </c:pt>
                <c:pt idx="338">
                  <c:v>97.476665121000082</c:v>
                </c:pt>
                <c:pt idx="339">
                  <c:v>97.508448117000086</c:v>
                </c:pt>
                <c:pt idx="340">
                  <c:v>97.540098801000084</c:v>
                </c:pt>
                <c:pt idx="341">
                  <c:v>97.57165137300008</c:v>
                </c:pt>
                <c:pt idx="342">
                  <c:v>97.603167697000075</c:v>
                </c:pt>
                <c:pt idx="343">
                  <c:v>97.634582862000073</c:v>
                </c:pt>
                <c:pt idx="344">
                  <c:v>97.665706868000072</c:v>
                </c:pt>
                <c:pt idx="345">
                  <c:v>97.696621372000067</c:v>
                </c:pt>
                <c:pt idx="346">
                  <c:v>97.727529148000073</c:v>
                </c:pt>
                <c:pt idx="347">
                  <c:v>97.758046874000073</c:v>
                </c:pt>
                <c:pt idx="348">
                  <c:v>97.788553686000071</c:v>
                </c:pt>
                <c:pt idx="349">
                  <c:v>97.818891816000075</c:v>
                </c:pt>
                <c:pt idx="350">
                  <c:v>97.849077369000071</c:v>
                </c:pt>
                <c:pt idx="351">
                  <c:v>97.879208983000069</c:v>
                </c:pt>
                <c:pt idx="352">
                  <c:v>97.909133777000065</c:v>
                </c:pt>
                <c:pt idx="353">
                  <c:v>97.93854584400006</c:v>
                </c:pt>
                <c:pt idx="354">
                  <c:v>97.967527894000057</c:v>
                </c:pt>
                <c:pt idx="355">
                  <c:v>97.996471605000053</c:v>
                </c:pt>
                <c:pt idx="356">
                  <c:v>98.025088178000047</c:v>
                </c:pt>
                <c:pt idx="357">
                  <c:v>98.053690158000052</c:v>
                </c:pt>
                <c:pt idx="358">
                  <c:v>98.082030891000045</c:v>
                </c:pt>
                <c:pt idx="359">
                  <c:v>98.110079093000039</c:v>
                </c:pt>
                <c:pt idx="360">
                  <c:v>98.137556938000046</c:v>
                </c:pt>
                <c:pt idx="361">
                  <c:v>98.164856020000045</c:v>
                </c:pt>
                <c:pt idx="362">
                  <c:v>98.191947650000046</c:v>
                </c:pt>
                <c:pt idx="363">
                  <c:v>98.218903462000043</c:v>
                </c:pt>
                <c:pt idx="364">
                  <c:v>98.245699052000049</c:v>
                </c:pt>
                <c:pt idx="365">
                  <c:v>98.27236706000005</c:v>
                </c:pt>
                <c:pt idx="366">
                  <c:v>98.29895028600005</c:v>
                </c:pt>
                <c:pt idx="367">
                  <c:v>98.325135208000049</c:v>
                </c:pt>
                <c:pt idx="368">
                  <c:v>98.351244224000055</c:v>
                </c:pt>
                <c:pt idx="369">
                  <c:v>98.375851129000054</c:v>
                </c:pt>
                <c:pt idx="370">
                  <c:v>98.400437942000053</c:v>
                </c:pt>
                <c:pt idx="371">
                  <c:v>98.42501848700006</c:v>
                </c:pt>
                <c:pt idx="372">
                  <c:v>98.449419522000056</c:v>
                </c:pt>
                <c:pt idx="373">
                  <c:v>98.473382701000062</c:v>
                </c:pt>
                <c:pt idx="374">
                  <c:v>98.497217135000056</c:v>
                </c:pt>
                <c:pt idx="375">
                  <c:v>98.52103412600006</c:v>
                </c:pt>
                <c:pt idx="376">
                  <c:v>98.544646306000061</c:v>
                </c:pt>
                <c:pt idx="377">
                  <c:v>98.567738693000067</c:v>
                </c:pt>
                <c:pt idx="378">
                  <c:v>98.590651568000069</c:v>
                </c:pt>
                <c:pt idx="379">
                  <c:v>98.613167148000073</c:v>
                </c:pt>
                <c:pt idx="380">
                  <c:v>98.63565841900008</c:v>
                </c:pt>
                <c:pt idx="381">
                  <c:v>98.658041737000076</c:v>
                </c:pt>
                <c:pt idx="382">
                  <c:v>98.680151530000074</c:v>
                </c:pt>
                <c:pt idx="383">
                  <c:v>98.702019664000076</c:v>
                </c:pt>
                <c:pt idx="384">
                  <c:v>98.723314073000083</c:v>
                </c:pt>
                <c:pt idx="385">
                  <c:v>98.744508322000087</c:v>
                </c:pt>
                <c:pt idx="386">
                  <c:v>98.765529330000092</c:v>
                </c:pt>
                <c:pt idx="387">
                  <c:v>98.786404375000089</c:v>
                </c:pt>
                <c:pt idx="388">
                  <c:v>98.807232325000086</c:v>
                </c:pt>
                <c:pt idx="389">
                  <c:v>98.82789598800008</c:v>
                </c:pt>
                <c:pt idx="390">
                  <c:v>98.848360995000078</c:v>
                </c:pt>
                <c:pt idx="391">
                  <c:v>98.868746627000078</c:v>
                </c:pt>
                <c:pt idx="392">
                  <c:v>98.889026253000083</c:v>
                </c:pt>
                <c:pt idx="393">
                  <c:v>98.909159449000086</c:v>
                </c:pt>
                <c:pt idx="394">
                  <c:v>98.929211459000086</c:v>
                </c:pt>
                <c:pt idx="395">
                  <c:v>98.948723477000087</c:v>
                </c:pt>
                <c:pt idx="396">
                  <c:v>98.968087721000089</c:v>
                </c:pt>
                <c:pt idx="397">
                  <c:v>98.987399386000092</c:v>
                </c:pt>
                <c:pt idx="398">
                  <c:v>99.006383953000096</c:v>
                </c:pt>
                <c:pt idx="399">
                  <c:v>99.025361976000099</c:v>
                </c:pt>
                <c:pt idx="400">
                  <c:v>99.044287446000098</c:v>
                </c:pt>
                <c:pt idx="401">
                  <c:v>99.062850746000095</c:v>
                </c:pt>
                <c:pt idx="402">
                  <c:v>99.081169815000095</c:v>
                </c:pt>
                <c:pt idx="403">
                  <c:v>99.099435010000093</c:v>
                </c:pt>
                <c:pt idx="404">
                  <c:v>99.117642027000088</c:v>
                </c:pt>
                <c:pt idx="405">
                  <c:v>99.135637791000093</c:v>
                </c:pt>
                <c:pt idx="406">
                  <c:v>99.153614815000097</c:v>
                </c:pt>
                <c:pt idx="407">
                  <c:v>99.171549002000091</c:v>
                </c:pt>
                <c:pt idx="408">
                  <c:v>99.189055959000086</c:v>
                </c:pt>
                <c:pt idx="409">
                  <c:v>99.206503163000093</c:v>
                </c:pt>
                <c:pt idx="410">
                  <c:v>99.223920470000095</c:v>
                </c:pt>
                <c:pt idx="411">
                  <c:v>99.241152259000089</c:v>
                </c:pt>
                <c:pt idx="412">
                  <c:v>99.258253518000089</c:v>
                </c:pt>
                <c:pt idx="413">
                  <c:v>99.275316241000084</c:v>
                </c:pt>
                <c:pt idx="414">
                  <c:v>99.292375378000088</c:v>
                </c:pt>
                <c:pt idx="415">
                  <c:v>99.309408546000085</c:v>
                </c:pt>
                <c:pt idx="416">
                  <c:v>99.326296853000088</c:v>
                </c:pt>
                <c:pt idx="417">
                  <c:v>99.343091029000092</c:v>
                </c:pt>
                <c:pt idx="418">
                  <c:v>99.359775510000091</c:v>
                </c:pt>
                <c:pt idx="419">
                  <c:v>99.376285095000085</c:v>
                </c:pt>
                <c:pt idx="420">
                  <c:v>99.392775040000089</c:v>
                </c:pt>
                <c:pt idx="421">
                  <c:v>99.409075806000089</c:v>
                </c:pt>
                <c:pt idx="422">
                  <c:v>99.425341719000087</c:v>
                </c:pt>
                <c:pt idx="423">
                  <c:v>99.441564054000082</c:v>
                </c:pt>
                <c:pt idx="424">
                  <c:v>99.457561371000082</c:v>
                </c:pt>
                <c:pt idx="425">
                  <c:v>99.473550375000087</c:v>
                </c:pt>
                <c:pt idx="426">
                  <c:v>99.489409666000086</c:v>
                </c:pt>
                <c:pt idx="427">
                  <c:v>99.505074601000089</c:v>
                </c:pt>
                <c:pt idx="428">
                  <c:v>99.520530483000087</c:v>
                </c:pt>
                <c:pt idx="429">
                  <c:v>99.53584941200009</c:v>
                </c:pt>
                <c:pt idx="430">
                  <c:v>99.55061217300009</c:v>
                </c:pt>
                <c:pt idx="431">
                  <c:v>99.565346654000095</c:v>
                </c:pt>
                <c:pt idx="432">
                  <c:v>99.580041946000094</c:v>
                </c:pt>
                <c:pt idx="433">
                  <c:v>99.594400099000097</c:v>
                </c:pt>
                <c:pt idx="434">
                  <c:v>99.608572053000103</c:v>
                </c:pt>
                <c:pt idx="435">
                  <c:v>99.622711674000101</c:v>
                </c:pt>
                <c:pt idx="436">
                  <c:v>99.636850431000099</c:v>
                </c:pt>
                <c:pt idx="437">
                  <c:v>99.650740190000093</c:v>
                </c:pt>
                <c:pt idx="438">
                  <c:v>99.664581504000097</c:v>
                </c:pt>
                <c:pt idx="439">
                  <c:v>99.677877307000102</c:v>
                </c:pt>
                <c:pt idx="440">
                  <c:v>99.691148094000098</c:v>
                </c:pt>
                <c:pt idx="441">
                  <c:v>99.704302056000103</c:v>
                </c:pt>
                <c:pt idx="442">
                  <c:v>99.717393157000103</c:v>
                </c:pt>
                <c:pt idx="443">
                  <c:v>99.7304659670001</c:v>
                </c:pt>
                <c:pt idx="444">
                  <c:v>99.743268695000097</c:v>
                </c:pt>
                <c:pt idx="445">
                  <c:v>99.755887869000091</c:v>
                </c:pt>
                <c:pt idx="446">
                  <c:v>99.768456262000086</c:v>
                </c:pt>
                <c:pt idx="447">
                  <c:v>99.780863446000083</c:v>
                </c:pt>
                <c:pt idx="448">
                  <c:v>99.792948785000078</c:v>
                </c:pt>
                <c:pt idx="449">
                  <c:v>99.805029475000083</c:v>
                </c:pt>
                <c:pt idx="450">
                  <c:v>99.816565235000084</c:v>
                </c:pt>
                <c:pt idx="451">
                  <c:v>99.828009838000085</c:v>
                </c:pt>
                <c:pt idx="452">
                  <c:v>99.839399053000079</c:v>
                </c:pt>
                <c:pt idx="453">
                  <c:v>99.85073772700008</c:v>
                </c:pt>
                <c:pt idx="454">
                  <c:v>99.861315308000087</c:v>
                </c:pt>
                <c:pt idx="455">
                  <c:v>99.871554984000085</c:v>
                </c:pt>
                <c:pt idx="456">
                  <c:v>99.881583278000079</c:v>
                </c:pt>
                <c:pt idx="457">
                  <c:v>99.890978546000085</c:v>
                </c:pt>
                <c:pt idx="458">
                  <c:v>99.900329775000088</c:v>
                </c:pt>
                <c:pt idx="459">
                  <c:v>99.908559496000095</c:v>
                </c:pt>
                <c:pt idx="460">
                  <c:v>99.916599091000094</c:v>
                </c:pt>
                <c:pt idx="461">
                  <c:v>99.924588371000098</c:v>
                </c:pt>
                <c:pt idx="462">
                  <c:v>99.932059710000104</c:v>
                </c:pt>
                <c:pt idx="463">
                  <c:v>99.939148846000109</c:v>
                </c:pt>
                <c:pt idx="464">
                  <c:v>99.946078841000102</c:v>
                </c:pt>
                <c:pt idx="465">
                  <c:v>99.952809745000096</c:v>
                </c:pt>
                <c:pt idx="466">
                  <c:v>99.959020934000094</c:v>
                </c:pt>
                <c:pt idx="467">
                  <c:v>99.965202677000093</c:v>
                </c:pt>
                <c:pt idx="468">
                  <c:v>99.971251793000093</c:v>
                </c:pt>
                <c:pt idx="469">
                  <c:v>99.977070292000093</c:v>
                </c:pt>
                <c:pt idx="470">
                  <c:v>99.9825228670001</c:v>
                </c:pt>
                <c:pt idx="471">
                  <c:v>99.987925336000103</c:v>
                </c:pt>
                <c:pt idx="472">
                  <c:v>99.993085633000106</c:v>
                </c:pt>
                <c:pt idx="473">
                  <c:v>99.998123700000107</c:v>
                </c:pt>
                <c:pt idx="474">
                  <c:v>100.00310771500011</c:v>
                </c:pt>
                <c:pt idx="475">
                  <c:v>100.00783137200011</c:v>
                </c:pt>
                <c:pt idx="476">
                  <c:v>100.01222875200011</c:v>
                </c:pt>
                <c:pt idx="477">
                  <c:v>100.01647969500011</c:v>
                </c:pt>
                <c:pt idx="478">
                  <c:v>100.02061648000011</c:v>
                </c:pt>
                <c:pt idx="479">
                  <c:v>100.02457714600011</c:v>
                </c:pt>
                <c:pt idx="480">
                  <c:v>100.02851604600011</c:v>
                </c:pt>
                <c:pt idx="481">
                  <c:v>100.03167006300011</c:v>
                </c:pt>
                <c:pt idx="482">
                  <c:v>100.0344221940001</c:v>
                </c:pt>
                <c:pt idx="483">
                  <c:v>100.0370599750001</c:v>
                </c:pt>
                <c:pt idx="484">
                  <c:v>100.0396064750001</c:v>
                </c:pt>
                <c:pt idx="485">
                  <c:v>100.0418716600001</c:v>
                </c:pt>
                <c:pt idx="486">
                  <c:v>100.0439006670001</c:v>
                </c:pt>
                <c:pt idx="487">
                  <c:v>100.0458342140001</c:v>
                </c:pt>
                <c:pt idx="488">
                  <c:v>100.04766801300009</c:v>
                </c:pt>
                <c:pt idx="489">
                  <c:v>100.04947199600009</c:v>
                </c:pt>
                <c:pt idx="490">
                  <c:v>100.05109316300009</c:v>
                </c:pt>
                <c:pt idx="491">
                  <c:v>100.05222613500008</c:v>
                </c:pt>
                <c:pt idx="492">
                  <c:v>100.05334151500008</c:v>
                </c:pt>
                <c:pt idx="493">
                  <c:v>100.05427053400008</c:v>
                </c:pt>
                <c:pt idx="494">
                  <c:v>100.05468362400008</c:v>
                </c:pt>
                <c:pt idx="495">
                  <c:v>100.05478720000008</c:v>
                </c:pt>
                <c:pt idx="496">
                  <c:v>100.05467303700007</c:v>
                </c:pt>
                <c:pt idx="497">
                  <c:v>100.05387879700007</c:v>
                </c:pt>
                <c:pt idx="498">
                  <c:v>100.05206504900006</c:v>
                </c:pt>
                <c:pt idx="499">
                  <c:v>100.04884082500007</c:v>
                </c:pt>
                <c:pt idx="500">
                  <c:v>100.04192740300007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D25-4A7C-B52C-B209597906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3275359"/>
        <c:axId val="1923279679"/>
      </c:scatterChart>
      <c:valAx>
        <c:axId val="1923275359"/>
        <c:scaling>
          <c:orientation val="minMax"/>
          <c:max val="5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/>
                  <a:t>股票數量</a:t>
                </a:r>
                <a:endParaRPr lang="de-DE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923279679"/>
        <c:crosses val="autoZero"/>
        <c:crossBetween val="midCat"/>
        <c:majorUnit val="100"/>
      </c:valAx>
      <c:valAx>
        <c:axId val="1923279679"/>
        <c:scaling>
          <c:orientation val="minMax"/>
          <c:max val="101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Total contribution to risk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923275359"/>
        <c:crosses val="autoZero"/>
        <c:crossBetween val="midCat"/>
        <c:majorUnit val="5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2bd7e-3c10-4826-aa7f-7906a8970194">
      <Value>10</Value>
      <Value>9</Value>
    </TaxCatchAll>
    <lcf76f155ced4ddcb4097134ff3c332f xmlns="f308f42e-fe02-4c9a-a933-ee3878346ec6">
      <Terms xmlns="http://schemas.microsoft.com/office/infopath/2007/PartnerControls"/>
    </lcf76f155ced4ddcb4097134ff3c332f>
    <k4e1c828ceaa42368f9451e53768eb72 xmlns="8f52bd7e-3c10-4826-aa7f-7906a89701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Content [51006298]</TermName>
          <TermId xmlns="http://schemas.microsoft.com/office/infopath/2007/PartnerControls">411fa835-b056-487a-8ce3-1e6406ba86ba</TermId>
        </TermInfo>
      </Terms>
    </k4e1c828ceaa42368f9451e53768eb72>
    <fd4014056ecd469d948491749f9119a0 xmlns="8f52bd7e-3c10-4826-aa7f-7906a89701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AllianzGI GmbH /UK Branch [DE0597]</TermName>
          <TermId xmlns="http://schemas.microsoft.com/office/infopath/2007/PartnerControls">82a67b18-e962-4ded-a999-548f4f4c5d7d</TermId>
        </TermInfo>
      </Terms>
    </fd4014056ecd469d948491749f9119a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BA209B325E24C8122972B489551B0" ma:contentTypeVersion="19" ma:contentTypeDescription="Create a new document." ma:contentTypeScope="" ma:versionID="53acb2848cd9f72acff992dd73274105">
  <xsd:schema xmlns:xsd="http://www.w3.org/2001/XMLSchema" xmlns:xs="http://www.w3.org/2001/XMLSchema" xmlns:p="http://schemas.microsoft.com/office/2006/metadata/properties" xmlns:ns2="8f52bd7e-3c10-4826-aa7f-7906a8970194" xmlns:ns3="f308f42e-fe02-4c9a-a933-ee3878346ec6" targetNamespace="http://schemas.microsoft.com/office/2006/metadata/properties" ma:root="true" ma:fieldsID="b930f2c0edb155b714b39836ea02ad3d" ns2:_="" ns3:_="">
    <xsd:import namespace="8f52bd7e-3c10-4826-aa7f-7906a8970194"/>
    <xsd:import namespace="f308f42e-fe02-4c9a-a933-ee3878346ec6"/>
    <xsd:element name="properties">
      <xsd:complexType>
        <xsd:sequence>
          <xsd:element name="documentManagement">
            <xsd:complexType>
              <xsd:all>
                <xsd:element ref="ns2:fd4014056ecd469d948491749f9119a0" minOccurs="0"/>
                <xsd:element ref="ns2:TaxCatchAll" minOccurs="0"/>
                <xsd:element ref="ns2:k4e1c828ceaa42368f9451e53768eb72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2:SharedWithDetails" minOccurs="0"/>
                <xsd:element ref="ns2:SharedWithUser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2bd7e-3c10-4826-aa7f-7906a8970194" elementFormDefault="qualified">
    <xsd:import namespace="http://schemas.microsoft.com/office/2006/documentManagement/types"/>
    <xsd:import namespace="http://schemas.microsoft.com/office/infopath/2007/PartnerControls"/>
    <xsd:element name="fd4014056ecd469d948491749f9119a0" ma:index="9" ma:taxonomy="true" ma:internalName="fd4014056ecd469d948491749f9119a0" ma:taxonomyFieldName="LegalEntity" ma:displayName="Legal Entity" ma:fieldId="{fd401405-6ecd-469d-9484-91749f9119a0}" ma:sspId="87a1eaae-7a8c-4fb9-95e5-02576394bf43" ma:termSetId="0d815b7a-8cf2-468c-80d4-7c7098effb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4f0457e-bdea-4fe1-8aa4-13dcc6a72f8c}" ma:internalName="TaxCatchAll" ma:showField="CatchAllData" ma:web="8f52bd7e-3c10-4826-aa7f-7906a8970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e1c828ceaa42368f9451e53768eb72" ma:index="12" ma:taxonomy="true" ma:internalName="k4e1c828ceaa42368f9451e53768eb72" ma:taxonomyFieldName="OrganizationalUnit" ma:displayName="Organizational Unit" ma:fieldId="{44e1c828-ceaa-4236-8f94-51e53768eb72}" ma:sspId="87a1eaae-7a8c-4fb9-95e5-02576394bf43" ma:termSetId="978bed53-bf49-4616-bb3d-9b96a00683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8f42e-fe02-4c9a-a933-ee3878346e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a1eaae-7a8c-4fb9-95e5-02576394b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D60BA-3003-43FF-92DF-4F9945DEFE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82072-A29D-48CF-8A9F-3400B8195B6A}">
  <ds:schemaRefs>
    <ds:schemaRef ds:uri="http://schemas.microsoft.com/office/2006/metadata/properties"/>
    <ds:schemaRef ds:uri="http://schemas.microsoft.com/office/infopath/2007/PartnerControls"/>
    <ds:schemaRef ds:uri="8f52bd7e-3c10-4826-aa7f-7906a8970194"/>
    <ds:schemaRef ds:uri="f308f42e-fe02-4c9a-a933-ee3878346ec6"/>
  </ds:schemaRefs>
</ds:datastoreItem>
</file>

<file path=customXml/itemProps3.xml><?xml version="1.0" encoding="utf-8"?>
<ds:datastoreItem xmlns:ds="http://schemas.openxmlformats.org/officeDocument/2006/customXml" ds:itemID="{37F6385E-089E-42E0-9CF6-61391DA86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2bd7e-3c10-4826-aa7f-7906a8970194"/>
    <ds:schemaRef ds:uri="f308f42e-fe02-4c9a-a933-ee3878346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2025-05-02T09:35:00Z</dcterms:created>
  <dc:creator>Stamos, Michael (AllianzGI)</dc:creator>
  <cp:lastModifiedBy>Wang, Scott (AllianzGI)</cp:lastModifiedBy>
  <cp:lastPrinted>2025-03-27T15:24:00Z</cp:lastPrinted>
  <dcterms:modified xsi:type="dcterms:W3CDTF">2025-05-05T06:10:00Z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d8ad9ec,705dd705,3de0e422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Internal</vt:lpwstr>
  </property>
  <property fmtid="{D5CDD505-2E9C-101B-9397-08002B2CF9AE}" pid="5" name="MSIP_Label_511d2ef4-471a-450b-b804-da016b8121de_Enabled">
    <vt:lpwstr>true</vt:lpwstr>
  </property>
  <property fmtid="{D5CDD505-2E9C-101B-9397-08002B2CF9AE}" pid="6" name="MSIP_Label_511d2ef4-471a-450b-b804-da016b8121de_SetDate">
    <vt:lpwstr>2025-03-25T15:09:24Z</vt:lpwstr>
  </property>
  <property fmtid="{D5CDD505-2E9C-101B-9397-08002B2CF9AE}" pid="7" name="MSIP_Label_511d2ef4-471a-450b-b804-da016b8121de_Method">
    <vt:lpwstr>Standard</vt:lpwstr>
  </property>
  <property fmtid="{D5CDD505-2E9C-101B-9397-08002B2CF9AE}" pid="8" name="MSIP_Label_511d2ef4-471a-450b-b804-da016b8121de_Name">
    <vt:lpwstr>511d2ef4-471a-450b-b804-da016b8121de</vt:lpwstr>
  </property>
  <property fmtid="{D5CDD505-2E9C-101B-9397-08002B2CF9AE}" pid="9" name="MSIP_Label_511d2ef4-471a-450b-b804-da016b8121de_SiteId">
    <vt:lpwstr>a1eacbd5-fb0e-46f1-81e3-4965ea8e45bb</vt:lpwstr>
  </property>
  <property fmtid="{D5CDD505-2E9C-101B-9397-08002B2CF9AE}" pid="10" name="MSIP_Label_511d2ef4-471a-450b-b804-da016b8121de_ActionId">
    <vt:lpwstr>638ed210-77d5-462a-9905-7991397dcbf9</vt:lpwstr>
  </property>
  <property fmtid="{D5CDD505-2E9C-101B-9397-08002B2CF9AE}" pid="11" name="MSIP_Label_511d2ef4-471a-450b-b804-da016b8121de_ContentBits">
    <vt:lpwstr>2</vt:lpwstr>
  </property>
  <property fmtid="{D5CDD505-2E9C-101B-9397-08002B2CF9AE}" pid="12" name="MSIP_Label_511d2ef4-471a-450b-b804-da016b8121de_Tag">
    <vt:lpwstr>10, 3, 0, 1</vt:lpwstr>
  </property>
  <property fmtid="{D5CDD505-2E9C-101B-9397-08002B2CF9AE}" pid="13" name="ContentTypeId">
    <vt:lpwstr>0x010100CE1BA209B325E24C8122972B489551B0</vt:lpwstr>
  </property>
  <property fmtid="{D5CDD505-2E9C-101B-9397-08002B2CF9AE}" pid="14" name="k4e1c828ceaa42368f9451e53768eb720">
    <vt:lpwstr>Global RandD Multi Asset [51010599]|fdc73366-19c5-4820-aa15-0b8c21d51288</vt:lpwstr>
  </property>
  <property fmtid="{D5CDD505-2E9C-101B-9397-08002B2CF9AE}" pid="15" name="fd4014056ecd469d948491749f9119a00">
    <vt:lpwstr>AllianzGI GmbH/Head Offic [DE0571]|6c982981-4a56-4aee-93b5-54f402e1b496</vt:lpwstr>
  </property>
  <property fmtid="{D5CDD505-2E9C-101B-9397-08002B2CF9AE}" pid="16" name="OrganizationalUnit">
    <vt:lpwstr>10;#Content [51006298]|411fa835-b056-487a-8ce3-1e6406ba86ba</vt:lpwstr>
  </property>
  <property fmtid="{D5CDD505-2E9C-101B-9397-08002B2CF9AE}" pid="17" name="MediaServiceImageTags">
    <vt:lpwstr/>
  </property>
  <property fmtid="{D5CDD505-2E9C-101B-9397-08002B2CF9AE}" pid="18" name="LegalEntity">
    <vt:lpwstr>9;#AllianzGI GmbH /UK Branch [DE0597]|82a67b18-e962-4ded-a999-548f4f4c5d7d</vt:lpwstr>
  </property>
</Properties>
</file>